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6F" w:rsidRDefault="008C376F" w:rsidP="008C376F">
      <w:pPr>
        <w:jc w:val="center"/>
        <w:rPr>
          <w:rFonts w:cs="Arial"/>
          <w:b/>
        </w:rPr>
      </w:pPr>
      <w:r>
        <w:rPr>
          <w:rFonts w:cs="Arial"/>
          <w:b/>
        </w:rPr>
        <w:t>IN THE DISTRICT COURT OF THE VIRGIN ISLANDS</w:t>
      </w:r>
    </w:p>
    <w:p w:rsidR="008C376F" w:rsidRDefault="008C376F" w:rsidP="008C376F">
      <w:pPr>
        <w:jc w:val="center"/>
        <w:rPr>
          <w:rFonts w:cs="Arial"/>
          <w:b/>
        </w:rPr>
      </w:pPr>
      <w:r>
        <w:rPr>
          <w:rFonts w:cs="Arial"/>
          <w:b/>
        </w:rPr>
        <w:t>DIVISION OF ST. CROIX</w:t>
      </w:r>
    </w:p>
    <w:p w:rsidR="008C376F" w:rsidRDefault="008C376F" w:rsidP="008C376F">
      <w:pPr>
        <w:rPr>
          <w:rFonts w:cs="Arial"/>
        </w:rPr>
      </w:pPr>
    </w:p>
    <w:p w:rsidR="008C376F" w:rsidRDefault="008C376F" w:rsidP="008C376F">
      <w:pPr>
        <w:rPr>
          <w:rFonts w:cs="Arial"/>
          <w:b/>
          <w:i/>
        </w:rPr>
      </w:pPr>
      <w:r>
        <w:rPr>
          <w:rFonts w:cs="Arial"/>
          <w:b/>
        </w:rPr>
        <w:t xml:space="preserve">MOHAMMAD HAMED, </w:t>
      </w:r>
      <w:r>
        <w:rPr>
          <w:rFonts w:cs="Arial"/>
          <w:i/>
        </w:rPr>
        <w:t>by his authorized</w:t>
      </w:r>
      <w:r>
        <w:rPr>
          <w:rFonts w:cs="Arial"/>
          <w:b/>
          <w:i/>
        </w:rPr>
        <w:tab/>
      </w:r>
      <w:r>
        <w:rPr>
          <w:b/>
        </w:rPr>
        <w:t>)</w:t>
      </w:r>
    </w:p>
    <w:p w:rsidR="008C376F" w:rsidRDefault="008C376F" w:rsidP="008C376F">
      <w:pPr>
        <w:rPr>
          <w:rFonts w:cs="Arial"/>
          <w:b/>
        </w:rPr>
      </w:pPr>
      <w:r>
        <w:rPr>
          <w:rFonts w:cs="Arial"/>
          <w:i/>
        </w:rPr>
        <w:t>agent</w:t>
      </w:r>
      <w:r>
        <w:rPr>
          <w:rFonts w:cs="Arial"/>
        </w:rPr>
        <w:t xml:space="preserve"> WALEED HAMED,</w:t>
      </w:r>
      <w:r>
        <w:rPr>
          <w:rFonts w:cs="Arial"/>
          <w:b/>
        </w:rPr>
        <w:tab/>
      </w:r>
      <w:r>
        <w:rPr>
          <w:rFonts w:cs="Arial"/>
          <w:b/>
        </w:rPr>
        <w:tab/>
      </w:r>
      <w:r>
        <w:rPr>
          <w:rFonts w:cs="Arial"/>
          <w:b/>
        </w:rPr>
        <w:tab/>
      </w:r>
      <w:r>
        <w:rPr>
          <w:rFonts w:cs="Arial"/>
          <w:b/>
        </w:rPr>
        <w:tab/>
        <w:t>)</w:t>
      </w:r>
    </w:p>
    <w:p w:rsidR="008C376F" w:rsidRDefault="008C376F" w:rsidP="008C376F">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t>CIVIL NO.  SX-12-CV-99</w:t>
      </w:r>
    </w:p>
    <w:p w:rsidR="008C376F" w:rsidRDefault="008C376F" w:rsidP="008C376F">
      <w:pPr>
        <w:ind w:firstLine="1440"/>
        <w:rPr>
          <w:rFonts w:cs="Arial"/>
          <w:b/>
        </w:rPr>
      </w:pPr>
      <w:r>
        <w:rPr>
          <w:rFonts w:cs="Arial"/>
        </w:rPr>
        <w:t>Plaintiff,</w:t>
      </w:r>
      <w:r>
        <w:rPr>
          <w:rFonts w:cs="Arial"/>
          <w:b/>
        </w:rPr>
        <w:tab/>
      </w:r>
      <w:r>
        <w:rPr>
          <w:rFonts w:cs="Arial"/>
          <w:b/>
        </w:rPr>
        <w:tab/>
      </w:r>
      <w:r>
        <w:rPr>
          <w:rFonts w:cs="Arial"/>
          <w:b/>
        </w:rPr>
        <w:tab/>
      </w:r>
      <w:r>
        <w:rPr>
          <w:rFonts w:cs="Arial"/>
          <w:b/>
        </w:rPr>
        <w:tab/>
        <w:t>)</w:t>
      </w:r>
    </w:p>
    <w:p w:rsidR="008C376F" w:rsidRDefault="008C376F" w:rsidP="008C376F">
      <w:pPr>
        <w:ind w:firstLine="720"/>
        <w:rPr>
          <w:rFonts w:cs="Arial"/>
          <w:b/>
        </w:rPr>
      </w:pPr>
      <w:r>
        <w:rPr>
          <w:rFonts w:cs="Arial"/>
          <w:b/>
        </w:rPr>
        <w:t>v.</w:t>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r>
    </w:p>
    <w:p w:rsidR="008C376F" w:rsidRDefault="008C376F" w:rsidP="008C376F">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t>ACTION FOR DAMAGES,</w:t>
      </w:r>
    </w:p>
    <w:p w:rsidR="008C376F" w:rsidRDefault="008C376F" w:rsidP="008C376F">
      <w:pPr>
        <w:rPr>
          <w:rFonts w:cs="Arial"/>
          <w:b/>
        </w:rPr>
      </w:pPr>
      <w:r>
        <w:rPr>
          <w:rFonts w:cs="Arial"/>
          <w:b/>
        </w:rPr>
        <w:t xml:space="preserve">FATHI YUSUF </w:t>
      </w:r>
      <w:r>
        <w:rPr>
          <w:rFonts w:cs="Arial"/>
        </w:rPr>
        <w:t xml:space="preserve">and </w:t>
      </w:r>
      <w:r>
        <w:rPr>
          <w:rFonts w:cs="Arial"/>
          <w:b/>
        </w:rPr>
        <w:t>UNITED CORPORATION,</w:t>
      </w:r>
      <w:r>
        <w:rPr>
          <w:rFonts w:cs="Arial"/>
          <w:b/>
        </w:rPr>
        <w:tab/>
        <w:t>)</w:t>
      </w:r>
      <w:r>
        <w:rPr>
          <w:rFonts w:cs="Arial"/>
          <w:b/>
        </w:rPr>
        <w:tab/>
        <w:t>INJUNCTIVE AND</w:t>
      </w:r>
    </w:p>
    <w:p w:rsidR="008C376F" w:rsidRDefault="008C376F" w:rsidP="008C376F">
      <w:pPr>
        <w:ind w:left="5760" w:hanging="720"/>
        <w:rPr>
          <w:rFonts w:cs="Arial"/>
          <w:b/>
        </w:rPr>
      </w:pPr>
      <w:r>
        <w:rPr>
          <w:rFonts w:cs="Arial"/>
          <w:b/>
        </w:rPr>
        <w:t>)</w:t>
      </w:r>
      <w:r>
        <w:rPr>
          <w:rFonts w:cs="Arial"/>
          <w:b/>
        </w:rPr>
        <w:tab/>
        <w:t>DECLARATORY RELIEF</w:t>
      </w:r>
    </w:p>
    <w:p w:rsidR="008C376F" w:rsidRDefault="008C376F" w:rsidP="008C376F">
      <w:pPr>
        <w:ind w:left="5760" w:hanging="720"/>
        <w:rPr>
          <w:rFonts w:cs="Arial"/>
          <w:b/>
        </w:rPr>
      </w:pPr>
      <w:r>
        <w:rPr>
          <w:rFonts w:cs="Arial"/>
          <w:b/>
        </w:rPr>
        <w:t>)</w:t>
      </w:r>
      <w:r>
        <w:rPr>
          <w:rFonts w:cs="Arial"/>
          <w:b/>
        </w:rPr>
        <w:tab/>
      </w:r>
      <w:r>
        <w:rPr>
          <w:rFonts w:cs="Arial"/>
          <w:b/>
        </w:rPr>
        <w:tab/>
      </w:r>
    </w:p>
    <w:p w:rsidR="008C376F" w:rsidRDefault="008C376F" w:rsidP="008C376F">
      <w:pPr>
        <w:ind w:left="720" w:firstLine="720"/>
        <w:rPr>
          <w:rFonts w:cs="Arial"/>
          <w:b/>
        </w:rPr>
      </w:pPr>
      <w:r>
        <w:rPr>
          <w:rFonts w:cs="Arial"/>
        </w:rPr>
        <w:t>Defendants.</w:t>
      </w:r>
      <w:r>
        <w:rPr>
          <w:rFonts w:cs="Arial"/>
          <w:b/>
        </w:rPr>
        <w:tab/>
      </w:r>
      <w:r>
        <w:rPr>
          <w:rFonts w:cs="Arial"/>
          <w:b/>
        </w:rPr>
        <w:tab/>
      </w:r>
      <w:r>
        <w:rPr>
          <w:rFonts w:cs="Arial"/>
          <w:b/>
        </w:rPr>
        <w:tab/>
      </w:r>
      <w:r>
        <w:rPr>
          <w:rFonts w:cs="Arial"/>
          <w:b/>
        </w:rPr>
        <w:tab/>
        <w:t>)</w:t>
      </w:r>
      <w:r>
        <w:rPr>
          <w:rFonts w:cs="Arial"/>
          <w:b/>
        </w:rPr>
        <w:tab/>
        <w:t>JURY TRIAL DEMANDED</w:t>
      </w:r>
    </w:p>
    <w:p w:rsidR="008C376F" w:rsidRDefault="008C376F" w:rsidP="008C376F">
      <w:pPr>
        <w:rPr>
          <w:rFonts w:cs="Arial"/>
          <w:b/>
        </w:rPr>
      </w:pPr>
      <w:r>
        <w:rPr>
          <w:rFonts w:cs="Arial"/>
          <w:b/>
        </w:rPr>
        <w:t>_____________________________________</w:t>
      </w:r>
      <w:r>
        <w:rPr>
          <w:rFonts w:cs="Arial"/>
          <w:b/>
        </w:rPr>
        <w:tab/>
        <w:t>)</w:t>
      </w:r>
    </w:p>
    <w:p w:rsidR="005031DA" w:rsidRPr="00F522D8" w:rsidRDefault="005031DA" w:rsidP="00052E0D">
      <w:pPr>
        <w:autoSpaceDE w:val="0"/>
        <w:autoSpaceDN w:val="0"/>
        <w:adjustRightInd w:val="0"/>
        <w:rPr>
          <w:rFonts w:cs="Arial"/>
          <w:color w:val="000000" w:themeColor="text1"/>
        </w:rPr>
      </w:pPr>
    </w:p>
    <w:p w:rsidR="009F3636" w:rsidRDefault="00E7233A" w:rsidP="009F3636">
      <w:pPr>
        <w:jc w:val="center"/>
        <w:rPr>
          <w:rFonts w:cs="Arial"/>
          <w:b/>
          <w:color w:val="000000" w:themeColor="text1"/>
        </w:rPr>
      </w:pPr>
      <w:r>
        <w:rPr>
          <w:rFonts w:cs="Arial"/>
          <w:b/>
          <w:color w:val="000000" w:themeColor="text1"/>
        </w:rPr>
        <w:t>PLAINTIFF</w:t>
      </w:r>
      <w:r w:rsidR="009C7892">
        <w:rPr>
          <w:rFonts w:cs="Arial"/>
          <w:b/>
          <w:color w:val="000000" w:themeColor="text1"/>
        </w:rPr>
        <w:t>’S</w:t>
      </w:r>
      <w:r>
        <w:rPr>
          <w:rFonts w:cs="Arial"/>
          <w:b/>
          <w:color w:val="000000" w:themeColor="text1"/>
        </w:rPr>
        <w:t xml:space="preserve"> </w:t>
      </w:r>
      <w:r w:rsidR="009B2806" w:rsidRPr="009F3636">
        <w:rPr>
          <w:rFonts w:cs="Arial"/>
          <w:b/>
          <w:color w:val="000000" w:themeColor="text1"/>
        </w:rPr>
        <w:t>OPPOSITION</w:t>
      </w:r>
      <w:r w:rsidR="006A3393" w:rsidRPr="009F3636">
        <w:rPr>
          <w:rFonts w:cs="Arial"/>
          <w:b/>
          <w:color w:val="000000" w:themeColor="text1"/>
        </w:rPr>
        <w:t xml:space="preserve"> TO </w:t>
      </w:r>
      <w:r w:rsidR="005B295E">
        <w:rPr>
          <w:rFonts w:cs="Arial"/>
          <w:b/>
          <w:color w:val="000000" w:themeColor="text1"/>
        </w:rPr>
        <w:t xml:space="preserve">DEFENDANTS’ </w:t>
      </w:r>
      <w:r w:rsidR="00F06774">
        <w:rPr>
          <w:rFonts w:cs="Arial"/>
          <w:b/>
          <w:color w:val="000000" w:themeColor="text1"/>
        </w:rPr>
        <w:t xml:space="preserve">RULE 12 </w:t>
      </w:r>
      <w:r w:rsidR="006A3393" w:rsidRPr="009F3636">
        <w:rPr>
          <w:rFonts w:cs="Arial"/>
          <w:b/>
          <w:color w:val="000000" w:themeColor="text1"/>
        </w:rPr>
        <w:t xml:space="preserve">MOTION </w:t>
      </w:r>
    </w:p>
    <w:p w:rsidR="00F06774" w:rsidRPr="009F3636" w:rsidRDefault="00F06774" w:rsidP="009F3636">
      <w:pPr>
        <w:jc w:val="center"/>
        <w:rPr>
          <w:rFonts w:cs="Arial"/>
          <w:b/>
          <w:color w:val="000000" w:themeColor="text1"/>
        </w:rPr>
      </w:pPr>
    </w:p>
    <w:p w:rsidR="005E7074" w:rsidRDefault="006A3393" w:rsidP="005E7074">
      <w:pPr>
        <w:numPr>
          <w:ilvl w:val="12"/>
          <w:numId w:val="0"/>
        </w:numPr>
        <w:tabs>
          <w:tab w:val="left" w:pos="720"/>
          <w:tab w:val="left" w:pos="1440"/>
          <w:tab w:val="left" w:pos="2160"/>
          <w:tab w:val="left" w:pos="2880"/>
          <w:tab w:val="left" w:pos="3600"/>
          <w:tab w:val="left" w:pos="4320"/>
          <w:tab w:val="left" w:pos="5040"/>
          <w:tab w:val="left" w:pos="5760"/>
        </w:tabs>
        <w:spacing w:line="480" w:lineRule="auto"/>
        <w:jc w:val="both"/>
        <w:rPr>
          <w:rFonts w:cs="Arial"/>
          <w:color w:val="000000" w:themeColor="text1"/>
        </w:rPr>
      </w:pPr>
      <w:r w:rsidRPr="00F522D8">
        <w:rPr>
          <w:rFonts w:cs="Arial"/>
          <w:color w:val="000000" w:themeColor="text1"/>
        </w:rPr>
        <w:tab/>
      </w:r>
      <w:r w:rsidR="00893BD3">
        <w:rPr>
          <w:rFonts w:cs="Arial"/>
          <w:color w:val="000000" w:themeColor="text1"/>
        </w:rPr>
        <w:t>D</w:t>
      </w:r>
      <w:r w:rsidRPr="00F522D8">
        <w:rPr>
          <w:rFonts w:cs="Arial"/>
          <w:color w:val="000000" w:themeColor="text1"/>
        </w:rPr>
        <w:t xml:space="preserve">efendants Fathi Yusuf </w:t>
      </w:r>
      <w:r w:rsidR="00A60520" w:rsidRPr="00F522D8">
        <w:rPr>
          <w:rFonts w:cs="Arial"/>
          <w:color w:val="000000" w:themeColor="text1"/>
        </w:rPr>
        <w:t>(</w:t>
      </w:r>
      <w:r w:rsidR="00A60520">
        <w:rPr>
          <w:rFonts w:cs="Arial"/>
          <w:color w:val="000000" w:themeColor="text1"/>
        </w:rPr>
        <w:t>“</w:t>
      </w:r>
      <w:r w:rsidRPr="00F522D8">
        <w:rPr>
          <w:rFonts w:cs="Arial"/>
          <w:color w:val="000000" w:themeColor="text1"/>
        </w:rPr>
        <w:t>Yusuf</w:t>
      </w:r>
      <w:r w:rsidR="00A60520">
        <w:rPr>
          <w:rFonts w:cs="Arial"/>
          <w:color w:val="000000" w:themeColor="text1"/>
        </w:rPr>
        <w:t>”</w:t>
      </w:r>
      <w:r w:rsidR="00A60520" w:rsidRPr="00F522D8">
        <w:rPr>
          <w:rFonts w:cs="Arial"/>
          <w:color w:val="000000" w:themeColor="text1"/>
        </w:rPr>
        <w:t xml:space="preserve">) </w:t>
      </w:r>
      <w:r w:rsidRPr="00F522D8">
        <w:rPr>
          <w:rFonts w:cs="Arial"/>
          <w:color w:val="000000" w:themeColor="text1"/>
        </w:rPr>
        <w:t>and Un</w:t>
      </w:r>
      <w:r w:rsidR="00571636">
        <w:rPr>
          <w:rFonts w:cs="Arial"/>
          <w:color w:val="000000" w:themeColor="text1"/>
        </w:rPr>
        <w:t xml:space="preserve">ited Corporation </w:t>
      </w:r>
      <w:r w:rsidR="00A60520">
        <w:rPr>
          <w:rFonts w:cs="Arial"/>
          <w:color w:val="000000" w:themeColor="text1"/>
        </w:rPr>
        <w:t>(“</w:t>
      </w:r>
      <w:r w:rsidR="00571636">
        <w:rPr>
          <w:rFonts w:cs="Arial"/>
          <w:color w:val="000000" w:themeColor="text1"/>
        </w:rPr>
        <w:t>United</w:t>
      </w:r>
      <w:r w:rsidR="00A60520">
        <w:rPr>
          <w:rFonts w:cs="Arial"/>
          <w:color w:val="000000" w:themeColor="text1"/>
        </w:rPr>
        <w:t>”)</w:t>
      </w:r>
      <w:r w:rsidR="00A60520" w:rsidRPr="00F522D8">
        <w:rPr>
          <w:rFonts w:cs="Arial"/>
          <w:color w:val="000000" w:themeColor="text1"/>
        </w:rPr>
        <w:t xml:space="preserve"> </w:t>
      </w:r>
      <w:r w:rsidR="00797A62">
        <w:rPr>
          <w:rFonts w:cs="Arial"/>
          <w:color w:val="000000" w:themeColor="text1"/>
        </w:rPr>
        <w:t xml:space="preserve">have </w:t>
      </w:r>
      <w:r w:rsidRPr="00F522D8">
        <w:rPr>
          <w:rFonts w:cs="Arial"/>
          <w:color w:val="000000" w:themeColor="text1"/>
        </w:rPr>
        <w:t xml:space="preserve">filed a </w:t>
      </w:r>
      <w:r w:rsidR="00797A62">
        <w:rPr>
          <w:rFonts w:cs="Arial"/>
          <w:color w:val="000000" w:themeColor="text1"/>
        </w:rPr>
        <w:t>Rule</w:t>
      </w:r>
      <w:r w:rsidR="00186836">
        <w:rPr>
          <w:rFonts w:cs="Arial"/>
          <w:color w:val="000000" w:themeColor="text1"/>
        </w:rPr>
        <w:t xml:space="preserve"> </w:t>
      </w:r>
      <w:r w:rsidR="00C737AD">
        <w:rPr>
          <w:rFonts w:cs="Arial"/>
          <w:color w:val="000000" w:themeColor="text1"/>
        </w:rPr>
        <w:t>1</w:t>
      </w:r>
      <w:r w:rsidR="00797A62">
        <w:rPr>
          <w:rFonts w:cs="Arial"/>
          <w:color w:val="000000" w:themeColor="text1"/>
        </w:rPr>
        <w:t>2</w:t>
      </w:r>
      <w:r w:rsidR="00962C3C">
        <w:rPr>
          <w:rFonts w:cs="Arial"/>
          <w:color w:val="000000" w:themeColor="text1"/>
        </w:rPr>
        <w:t xml:space="preserve">(b)(6) </w:t>
      </w:r>
      <w:r w:rsidRPr="00F522D8">
        <w:rPr>
          <w:rFonts w:cs="Arial"/>
          <w:color w:val="000000" w:themeColor="text1"/>
        </w:rPr>
        <w:t>motion</w:t>
      </w:r>
      <w:r w:rsidR="00893BD3">
        <w:rPr>
          <w:rFonts w:cs="Arial"/>
          <w:color w:val="000000" w:themeColor="text1"/>
        </w:rPr>
        <w:t xml:space="preserve"> to dismiss </w:t>
      </w:r>
      <w:r w:rsidR="005A64BA">
        <w:rPr>
          <w:rFonts w:cs="Arial"/>
          <w:color w:val="000000" w:themeColor="text1"/>
        </w:rPr>
        <w:t xml:space="preserve">(DE 28 and 29) </w:t>
      </w:r>
      <w:r w:rsidR="00893BD3">
        <w:rPr>
          <w:rFonts w:cs="Arial"/>
          <w:color w:val="000000" w:themeColor="text1"/>
        </w:rPr>
        <w:t xml:space="preserve">the </w:t>
      </w:r>
      <w:r w:rsidR="005A64BA">
        <w:rPr>
          <w:rFonts w:cs="Arial"/>
          <w:color w:val="000000" w:themeColor="text1"/>
        </w:rPr>
        <w:t>First Amended C</w:t>
      </w:r>
      <w:r w:rsidRPr="00F522D8">
        <w:rPr>
          <w:rFonts w:cs="Arial"/>
          <w:color w:val="000000" w:themeColor="text1"/>
        </w:rPr>
        <w:t xml:space="preserve">omplaint </w:t>
      </w:r>
      <w:r w:rsidR="005A64BA">
        <w:rPr>
          <w:rFonts w:cs="Arial"/>
          <w:color w:val="000000" w:themeColor="text1"/>
        </w:rPr>
        <w:t>(DE 15).</w:t>
      </w:r>
      <w:r w:rsidRPr="00F522D8">
        <w:rPr>
          <w:rFonts w:cs="Arial"/>
          <w:color w:val="000000" w:themeColor="text1"/>
        </w:rPr>
        <w:t xml:space="preserve"> </w:t>
      </w:r>
      <w:r w:rsidR="00571636">
        <w:rPr>
          <w:rFonts w:cs="Arial"/>
          <w:color w:val="000000" w:themeColor="text1"/>
        </w:rPr>
        <w:t xml:space="preserve"> </w:t>
      </w:r>
      <w:r w:rsidRPr="00F522D8">
        <w:rPr>
          <w:rFonts w:cs="Arial"/>
          <w:color w:val="000000" w:themeColor="text1"/>
        </w:rPr>
        <w:t>For the reasons set forth herein, it is respectfully submi</w:t>
      </w:r>
      <w:r w:rsidR="005E7074">
        <w:rPr>
          <w:rFonts w:cs="Arial"/>
          <w:color w:val="000000" w:themeColor="text1"/>
        </w:rPr>
        <w:t>tted the motion should be denied.</w:t>
      </w:r>
      <w:r w:rsidR="00231981">
        <w:rPr>
          <w:rFonts w:cs="Arial"/>
          <w:color w:val="000000" w:themeColor="text1"/>
        </w:rPr>
        <w:tab/>
      </w:r>
      <w:r w:rsidR="005E7074" w:rsidRPr="00EC2234">
        <w:rPr>
          <w:rFonts w:cs="Arial"/>
          <w:b/>
          <w:color w:val="000000" w:themeColor="text1"/>
        </w:rPr>
        <w:t>I.</w:t>
      </w:r>
      <w:r w:rsidR="005E7074">
        <w:rPr>
          <w:rFonts w:cs="Arial"/>
          <w:color w:val="000000" w:themeColor="text1"/>
        </w:rPr>
        <w:t xml:space="preserve"> </w:t>
      </w:r>
      <w:r w:rsidR="00962C3C">
        <w:rPr>
          <w:rFonts w:cs="Arial"/>
          <w:b/>
          <w:color w:val="000000" w:themeColor="text1"/>
        </w:rPr>
        <w:t>Preliminary Comments</w:t>
      </w:r>
    </w:p>
    <w:p w:rsidR="00C536B0" w:rsidRPr="005E7074" w:rsidRDefault="005E7074" w:rsidP="005E7074">
      <w:pPr>
        <w:numPr>
          <w:ilvl w:val="12"/>
          <w:numId w:val="0"/>
        </w:numPr>
        <w:tabs>
          <w:tab w:val="left" w:pos="720"/>
          <w:tab w:val="left" w:pos="1440"/>
          <w:tab w:val="left" w:pos="2160"/>
          <w:tab w:val="left" w:pos="2880"/>
          <w:tab w:val="left" w:pos="3600"/>
          <w:tab w:val="left" w:pos="4320"/>
          <w:tab w:val="left" w:pos="5040"/>
          <w:tab w:val="left" w:pos="5760"/>
        </w:tabs>
        <w:spacing w:line="480" w:lineRule="auto"/>
        <w:jc w:val="both"/>
        <w:rPr>
          <w:rFonts w:cs="Arial"/>
          <w:color w:val="000000" w:themeColor="text1"/>
        </w:rPr>
      </w:pPr>
      <w:r>
        <w:rPr>
          <w:rFonts w:cs="Arial"/>
          <w:color w:val="000000" w:themeColor="text1"/>
        </w:rPr>
        <w:tab/>
      </w:r>
      <w:r w:rsidR="00893BD3">
        <w:rPr>
          <w:rFonts w:cs="Arial"/>
          <w:color w:val="000000" w:themeColor="text1"/>
        </w:rPr>
        <w:t xml:space="preserve">In their </w:t>
      </w:r>
      <w:r w:rsidR="0048746C">
        <w:rPr>
          <w:rFonts w:cs="Arial"/>
          <w:color w:val="000000" w:themeColor="text1"/>
        </w:rPr>
        <w:t xml:space="preserve">memorandum in support of the </w:t>
      </w:r>
      <w:r w:rsidR="00893BD3">
        <w:rPr>
          <w:rFonts w:cs="Arial"/>
          <w:color w:val="000000" w:themeColor="text1"/>
        </w:rPr>
        <w:t>Rule 12 motion</w:t>
      </w:r>
      <w:r w:rsidR="00AA67AC">
        <w:rPr>
          <w:rFonts w:cs="Arial"/>
          <w:color w:val="000000" w:themeColor="text1"/>
        </w:rPr>
        <w:t xml:space="preserve"> (DE 29)</w:t>
      </w:r>
      <w:r w:rsidR="00893BD3">
        <w:rPr>
          <w:rFonts w:cs="Arial"/>
          <w:color w:val="000000" w:themeColor="text1"/>
        </w:rPr>
        <w:t xml:space="preserve">, </w:t>
      </w:r>
      <w:r w:rsidR="00BF4E86">
        <w:rPr>
          <w:rFonts w:cs="Arial"/>
          <w:color w:val="000000" w:themeColor="text1"/>
        </w:rPr>
        <w:t xml:space="preserve">defendants </w:t>
      </w:r>
      <w:r w:rsidR="001A7C44">
        <w:rPr>
          <w:rFonts w:cs="Arial"/>
          <w:color w:val="000000" w:themeColor="text1"/>
        </w:rPr>
        <w:t>concede</w:t>
      </w:r>
      <w:r w:rsidR="00B559ED">
        <w:rPr>
          <w:rFonts w:cs="Arial"/>
          <w:color w:val="000000" w:themeColor="text1"/>
        </w:rPr>
        <w:t xml:space="preserve">d on page 3 </w:t>
      </w:r>
      <w:r w:rsidR="001A7C44">
        <w:rPr>
          <w:rFonts w:cs="Arial"/>
          <w:color w:val="000000" w:themeColor="text1"/>
        </w:rPr>
        <w:t>what Plaintiff has alleged</w:t>
      </w:r>
      <w:r w:rsidR="00AA67AC">
        <w:rPr>
          <w:rFonts w:cs="Arial"/>
          <w:color w:val="000000" w:themeColor="text1"/>
        </w:rPr>
        <w:t xml:space="preserve">, making </w:t>
      </w:r>
      <w:r w:rsidR="000936FA">
        <w:rPr>
          <w:rFonts w:cs="Arial"/>
          <w:color w:val="000000" w:themeColor="text1"/>
        </w:rPr>
        <w:t xml:space="preserve">the following </w:t>
      </w:r>
      <w:r w:rsidR="00B559ED">
        <w:rPr>
          <w:rFonts w:cs="Arial"/>
          <w:color w:val="000000" w:themeColor="text1"/>
        </w:rPr>
        <w:t>admission:</w:t>
      </w:r>
      <w:r w:rsidR="00CB3B20">
        <w:rPr>
          <w:rFonts w:cs="Arial"/>
          <w:color w:val="000000" w:themeColor="text1"/>
        </w:rPr>
        <w:t xml:space="preserve"> </w:t>
      </w:r>
    </w:p>
    <w:p w:rsidR="00C737AD" w:rsidRDefault="00231981" w:rsidP="00056723">
      <w:pPr>
        <w:pStyle w:val="Default"/>
        <w:ind w:left="720" w:right="720"/>
        <w:jc w:val="both"/>
        <w:rPr>
          <w:rFonts w:ascii="Arial" w:hAnsi="Arial" w:cs="Arial"/>
        </w:rPr>
      </w:pPr>
      <w:r w:rsidRPr="00E51F2F">
        <w:rPr>
          <w:rFonts w:ascii="Arial" w:hAnsi="Arial" w:cs="Arial"/>
        </w:rPr>
        <w:t xml:space="preserve">In 1986, due to financial constraints, </w:t>
      </w:r>
      <w:r w:rsidRPr="00E7233A">
        <w:rPr>
          <w:rFonts w:ascii="Arial" w:hAnsi="Arial" w:cs="Arial"/>
        </w:rPr>
        <w:t>Defendant Yusuf and Plaintiff Hamed</w:t>
      </w:r>
      <w:r w:rsidRPr="00E51F2F">
        <w:rPr>
          <w:rFonts w:ascii="Arial" w:hAnsi="Arial" w:cs="Arial"/>
          <w:b/>
        </w:rPr>
        <w:t xml:space="preserve"> entered into an </w:t>
      </w:r>
      <w:r w:rsidRPr="00EC16E7">
        <w:rPr>
          <w:rFonts w:ascii="Arial" w:hAnsi="Arial" w:cs="Arial"/>
          <w:b/>
          <w:u w:val="single"/>
        </w:rPr>
        <w:t>oral joint venture agreement</w:t>
      </w:r>
      <w:r w:rsidRPr="00E51F2F">
        <w:rPr>
          <w:rFonts w:ascii="Arial" w:hAnsi="Arial" w:cs="Arial"/>
          <w:b/>
        </w:rPr>
        <w:t>.</w:t>
      </w:r>
      <w:r w:rsidRPr="00E51F2F">
        <w:rPr>
          <w:rFonts w:ascii="Arial" w:hAnsi="Arial" w:cs="Arial"/>
        </w:rPr>
        <w:t xml:space="preserve"> </w:t>
      </w:r>
      <w:r w:rsidR="00101174">
        <w:rPr>
          <w:rFonts w:ascii="Arial" w:hAnsi="Arial" w:cs="Arial"/>
        </w:rPr>
        <w:t xml:space="preserve"> </w:t>
      </w:r>
      <w:r w:rsidRPr="00E51F2F">
        <w:rPr>
          <w:rFonts w:ascii="Arial" w:hAnsi="Arial" w:cs="Arial"/>
          <w:b/>
        </w:rPr>
        <w:t xml:space="preserve">The </w:t>
      </w:r>
      <w:r w:rsidRPr="005875B0">
        <w:rPr>
          <w:rFonts w:ascii="Arial" w:hAnsi="Arial" w:cs="Arial"/>
          <w:b/>
          <w:u w:val="single"/>
        </w:rPr>
        <w:t>agreement</w:t>
      </w:r>
      <w:r w:rsidRPr="005875B0">
        <w:rPr>
          <w:rFonts w:ascii="Arial" w:hAnsi="Arial" w:cs="Arial"/>
          <w:u w:val="single"/>
        </w:rPr>
        <w:t xml:space="preserve"> </w:t>
      </w:r>
      <w:r w:rsidRPr="005875B0">
        <w:rPr>
          <w:rFonts w:ascii="Arial" w:hAnsi="Arial" w:cs="Arial"/>
          <w:b/>
          <w:bCs/>
          <w:u w:val="single"/>
        </w:rPr>
        <w:t>called for Plaintiff Hamed to receive fifty percent (50%) of the net profits</w:t>
      </w:r>
      <w:r w:rsidRPr="00E51F2F">
        <w:rPr>
          <w:rFonts w:ascii="Arial" w:hAnsi="Arial" w:cs="Arial"/>
          <w:b/>
          <w:bCs/>
        </w:rPr>
        <w:t xml:space="preserve"> of the operations of the Plaza Extra supermarkets</w:t>
      </w:r>
      <w:r w:rsidR="00801DEB">
        <w:rPr>
          <w:rFonts w:ascii="Arial" w:hAnsi="Arial" w:cs="Arial"/>
        </w:rPr>
        <w:t>....</w:t>
      </w:r>
      <w:r w:rsidRPr="00E7233A">
        <w:rPr>
          <w:rFonts w:ascii="Arial" w:hAnsi="Arial" w:cs="Arial"/>
          <w:b/>
        </w:rPr>
        <w:t xml:space="preserve">Plaintiff Hamed </w:t>
      </w:r>
      <w:r w:rsidRPr="00EC16E7">
        <w:rPr>
          <w:rFonts w:ascii="Arial" w:hAnsi="Arial" w:cs="Arial"/>
          <w:b/>
          <w:u w:val="single"/>
        </w:rPr>
        <w:t>received 50% of the net profits thereafter</w:t>
      </w:r>
      <w:r w:rsidRPr="00E7233A">
        <w:rPr>
          <w:rFonts w:ascii="Arial" w:hAnsi="Arial" w:cs="Arial"/>
          <w:b/>
        </w:rPr>
        <w:t xml:space="preserve">. </w:t>
      </w:r>
      <w:r w:rsidR="003434DF" w:rsidRPr="005875B0">
        <w:rPr>
          <w:rFonts w:ascii="Arial" w:hAnsi="Arial" w:cs="Arial"/>
        </w:rPr>
        <w:t xml:space="preserve"> (Em</w:t>
      </w:r>
      <w:r w:rsidR="00056723">
        <w:rPr>
          <w:rFonts w:ascii="Arial" w:hAnsi="Arial" w:cs="Arial"/>
        </w:rPr>
        <w:t>phasis added</w:t>
      </w:r>
      <w:r w:rsidR="003434DF" w:rsidRPr="005875B0">
        <w:rPr>
          <w:rFonts w:ascii="Arial" w:hAnsi="Arial" w:cs="Arial"/>
        </w:rPr>
        <w:t>)</w:t>
      </w:r>
    </w:p>
    <w:p w:rsidR="00056723" w:rsidRPr="00056723" w:rsidRDefault="00056723" w:rsidP="00056723">
      <w:pPr>
        <w:pStyle w:val="Default"/>
        <w:ind w:left="720" w:right="720"/>
        <w:jc w:val="both"/>
        <w:rPr>
          <w:rFonts w:ascii="Arial" w:hAnsi="Arial" w:cs="Arial"/>
          <w:b/>
        </w:rPr>
      </w:pPr>
    </w:p>
    <w:p w:rsidR="00231981" w:rsidRDefault="0076650C" w:rsidP="00231981">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rPr>
          <w:rFonts w:cs="Arial"/>
          <w:color w:val="000000" w:themeColor="text1"/>
        </w:rPr>
      </w:pPr>
      <w:r>
        <w:rPr>
          <w:rFonts w:cs="Arial"/>
          <w:color w:val="000000" w:themeColor="text1"/>
        </w:rPr>
        <w:t>The effect of th</w:t>
      </w:r>
      <w:r w:rsidR="00392D43">
        <w:rPr>
          <w:rFonts w:cs="Arial"/>
          <w:color w:val="000000" w:themeColor="text1"/>
        </w:rPr>
        <w:t xml:space="preserve">ese </w:t>
      </w:r>
      <w:r w:rsidR="00D6353D">
        <w:rPr>
          <w:rFonts w:cs="Arial"/>
          <w:color w:val="000000" w:themeColor="text1"/>
        </w:rPr>
        <w:t xml:space="preserve">concessions </w:t>
      </w:r>
      <w:r>
        <w:rPr>
          <w:rFonts w:cs="Arial"/>
          <w:color w:val="000000" w:themeColor="text1"/>
        </w:rPr>
        <w:t xml:space="preserve">is that </w:t>
      </w:r>
      <w:r w:rsidR="002C7387">
        <w:rPr>
          <w:rFonts w:cs="Arial"/>
          <w:color w:val="000000" w:themeColor="text1"/>
        </w:rPr>
        <w:t>d</w:t>
      </w:r>
      <w:r w:rsidR="00E43108">
        <w:rPr>
          <w:rFonts w:cs="Arial"/>
          <w:color w:val="000000" w:themeColor="text1"/>
        </w:rPr>
        <w:t xml:space="preserve">efendants </w:t>
      </w:r>
      <w:r w:rsidR="001B4B41">
        <w:rPr>
          <w:rFonts w:cs="Arial"/>
          <w:color w:val="000000" w:themeColor="text1"/>
        </w:rPr>
        <w:t xml:space="preserve">have </w:t>
      </w:r>
      <w:r w:rsidR="00CB3B20">
        <w:rPr>
          <w:rFonts w:cs="Arial"/>
          <w:color w:val="000000" w:themeColor="text1"/>
        </w:rPr>
        <w:t>admit</w:t>
      </w:r>
      <w:r w:rsidR="001B4B41">
        <w:rPr>
          <w:rFonts w:cs="Arial"/>
          <w:color w:val="000000" w:themeColor="text1"/>
        </w:rPr>
        <w:t>ted</w:t>
      </w:r>
      <w:r>
        <w:rPr>
          <w:rFonts w:cs="Arial"/>
          <w:color w:val="000000" w:themeColor="text1"/>
        </w:rPr>
        <w:t>:</w:t>
      </w:r>
    </w:p>
    <w:p w:rsidR="00E43108" w:rsidRDefault="00E43108" w:rsidP="001C5C13">
      <w:pPr>
        <w:tabs>
          <w:tab w:val="left" w:pos="720"/>
          <w:tab w:val="left" w:pos="1440"/>
          <w:tab w:val="left" w:pos="2160"/>
          <w:tab w:val="left" w:pos="2880"/>
          <w:tab w:val="left" w:pos="3600"/>
          <w:tab w:val="left" w:pos="4320"/>
          <w:tab w:val="left" w:pos="5040"/>
          <w:tab w:val="left" w:pos="5760"/>
        </w:tabs>
        <w:autoSpaceDE w:val="0"/>
        <w:autoSpaceDN w:val="0"/>
        <w:adjustRightInd w:val="0"/>
        <w:ind w:left="720"/>
        <w:rPr>
          <w:rFonts w:cs="Arial"/>
          <w:color w:val="000000" w:themeColor="text1"/>
        </w:rPr>
      </w:pPr>
      <w:r>
        <w:rPr>
          <w:rFonts w:cs="Arial"/>
          <w:color w:val="000000" w:themeColor="text1"/>
        </w:rPr>
        <w:t>A. the</w:t>
      </w:r>
      <w:r w:rsidR="00665FCB">
        <w:rPr>
          <w:rFonts w:cs="Arial"/>
          <w:color w:val="000000" w:themeColor="text1"/>
        </w:rPr>
        <w:t>re</w:t>
      </w:r>
      <w:r>
        <w:rPr>
          <w:rFonts w:cs="Arial"/>
          <w:color w:val="000000" w:themeColor="text1"/>
        </w:rPr>
        <w:t xml:space="preserve"> </w:t>
      </w:r>
      <w:r w:rsidR="002C7387">
        <w:rPr>
          <w:rFonts w:cs="Arial"/>
          <w:color w:val="000000" w:themeColor="text1"/>
        </w:rPr>
        <w:t xml:space="preserve">is an agreement </w:t>
      </w:r>
      <w:r>
        <w:rPr>
          <w:rFonts w:cs="Arial"/>
          <w:color w:val="000000" w:themeColor="text1"/>
        </w:rPr>
        <w:t xml:space="preserve">with </w:t>
      </w:r>
      <w:r w:rsidR="002C7387">
        <w:rPr>
          <w:rFonts w:cs="Arial"/>
          <w:color w:val="000000" w:themeColor="text1"/>
        </w:rPr>
        <w:t>the p</w:t>
      </w:r>
      <w:r>
        <w:rPr>
          <w:rFonts w:cs="Arial"/>
          <w:color w:val="000000" w:themeColor="text1"/>
        </w:rPr>
        <w:t>laintiff</w:t>
      </w:r>
      <w:r w:rsidR="002C7387">
        <w:rPr>
          <w:rFonts w:cs="Arial"/>
          <w:color w:val="000000" w:themeColor="text1"/>
        </w:rPr>
        <w:t xml:space="preserve"> </w:t>
      </w:r>
      <w:r w:rsidR="00157126">
        <w:rPr>
          <w:rFonts w:cs="Arial"/>
          <w:color w:val="000000" w:themeColor="text1"/>
        </w:rPr>
        <w:t xml:space="preserve">to share 50% of the profits of </w:t>
      </w:r>
      <w:r w:rsidR="002C7387">
        <w:rPr>
          <w:rFonts w:cs="Arial"/>
          <w:color w:val="000000" w:themeColor="text1"/>
        </w:rPr>
        <w:t>the Plaza Extra supermarket</w:t>
      </w:r>
      <w:r w:rsidR="00157126">
        <w:rPr>
          <w:rFonts w:cs="Arial"/>
          <w:color w:val="000000" w:themeColor="text1"/>
        </w:rPr>
        <w:t xml:space="preserve"> operations</w:t>
      </w:r>
      <w:r w:rsidR="002C7387">
        <w:rPr>
          <w:rFonts w:cs="Arial"/>
          <w:color w:val="000000" w:themeColor="text1"/>
        </w:rPr>
        <w:t>,</w:t>
      </w:r>
    </w:p>
    <w:p w:rsidR="001C5C13" w:rsidRDefault="001C5C13" w:rsidP="001C5C13">
      <w:pPr>
        <w:tabs>
          <w:tab w:val="left" w:pos="720"/>
          <w:tab w:val="left" w:pos="1440"/>
          <w:tab w:val="left" w:pos="2160"/>
          <w:tab w:val="left" w:pos="2880"/>
          <w:tab w:val="left" w:pos="3600"/>
          <w:tab w:val="left" w:pos="4320"/>
          <w:tab w:val="left" w:pos="5040"/>
          <w:tab w:val="left" w:pos="5760"/>
        </w:tabs>
        <w:autoSpaceDE w:val="0"/>
        <w:autoSpaceDN w:val="0"/>
        <w:adjustRightInd w:val="0"/>
        <w:rPr>
          <w:rFonts w:cs="Arial"/>
          <w:color w:val="000000" w:themeColor="text1"/>
        </w:rPr>
      </w:pPr>
    </w:p>
    <w:p w:rsidR="00E43108" w:rsidRDefault="00E43108" w:rsidP="00D52CB4">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t>B. made pursuant to a</w:t>
      </w:r>
      <w:r w:rsidR="00BC0AD4">
        <w:rPr>
          <w:rFonts w:cs="Arial"/>
          <w:color w:val="000000" w:themeColor="text1"/>
        </w:rPr>
        <w:t>n</w:t>
      </w:r>
      <w:r>
        <w:rPr>
          <w:rFonts w:cs="Arial"/>
          <w:color w:val="000000" w:themeColor="text1"/>
        </w:rPr>
        <w:t xml:space="preserve"> oral agreement</w:t>
      </w:r>
      <w:r w:rsidR="00BC0AD4">
        <w:rPr>
          <w:rFonts w:cs="Arial"/>
          <w:color w:val="000000" w:themeColor="text1"/>
        </w:rPr>
        <w:t xml:space="preserve"> (now affirmed in writing)</w:t>
      </w:r>
      <w:r w:rsidR="002C7387">
        <w:rPr>
          <w:rFonts w:cs="Arial"/>
          <w:color w:val="000000" w:themeColor="text1"/>
        </w:rPr>
        <w:t>,</w:t>
      </w:r>
    </w:p>
    <w:p w:rsidR="00E42576" w:rsidRDefault="00E43108" w:rsidP="00D52CB4">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t xml:space="preserve">C. </w:t>
      </w:r>
      <w:r w:rsidR="00E42576">
        <w:rPr>
          <w:rFonts w:cs="Arial"/>
          <w:color w:val="000000" w:themeColor="text1"/>
        </w:rPr>
        <w:t xml:space="preserve">which was entered into </w:t>
      </w:r>
      <w:r w:rsidR="00157126">
        <w:rPr>
          <w:rFonts w:cs="Arial"/>
          <w:color w:val="000000" w:themeColor="text1"/>
        </w:rPr>
        <w:t xml:space="preserve">before the opening of the first store </w:t>
      </w:r>
      <w:r w:rsidR="00E42576">
        <w:rPr>
          <w:rFonts w:cs="Arial"/>
          <w:color w:val="000000" w:themeColor="text1"/>
        </w:rPr>
        <w:t>in 1986</w:t>
      </w:r>
      <w:r w:rsidR="002C7387">
        <w:rPr>
          <w:rFonts w:cs="Arial"/>
          <w:color w:val="000000" w:themeColor="text1"/>
        </w:rPr>
        <w:t>,</w:t>
      </w:r>
    </w:p>
    <w:p w:rsidR="00E43108" w:rsidRDefault="00E42576" w:rsidP="00D52CB4">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r>
      <w:r w:rsidR="0076650C">
        <w:rPr>
          <w:rFonts w:cs="Arial"/>
          <w:color w:val="000000" w:themeColor="text1"/>
        </w:rPr>
        <w:t>D. w</w:t>
      </w:r>
      <w:r>
        <w:rPr>
          <w:rFonts w:cs="Arial"/>
          <w:color w:val="000000" w:themeColor="text1"/>
        </w:rPr>
        <w:t>hich is still in effect</w:t>
      </w:r>
      <w:r w:rsidR="00665FCB">
        <w:rPr>
          <w:rFonts w:cs="Arial"/>
          <w:color w:val="000000" w:themeColor="text1"/>
        </w:rPr>
        <w:t xml:space="preserve">, </w:t>
      </w:r>
    </w:p>
    <w:p w:rsidR="00E43108" w:rsidRDefault="00E43108" w:rsidP="00D52CB4">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r>
      <w:r w:rsidR="0076650C">
        <w:rPr>
          <w:rFonts w:cs="Arial"/>
          <w:color w:val="000000" w:themeColor="text1"/>
        </w:rPr>
        <w:t>E</w:t>
      </w:r>
      <w:r>
        <w:rPr>
          <w:rFonts w:cs="Arial"/>
          <w:color w:val="000000" w:themeColor="text1"/>
        </w:rPr>
        <w:t xml:space="preserve">. </w:t>
      </w:r>
      <w:r w:rsidR="002C7387">
        <w:rPr>
          <w:rFonts w:cs="Arial"/>
          <w:color w:val="000000" w:themeColor="text1"/>
        </w:rPr>
        <w:t xml:space="preserve">with </w:t>
      </w:r>
      <w:r>
        <w:rPr>
          <w:rFonts w:cs="Arial"/>
          <w:color w:val="000000" w:themeColor="text1"/>
        </w:rPr>
        <w:t>payment</w:t>
      </w:r>
      <w:r w:rsidR="002C7387">
        <w:rPr>
          <w:rFonts w:cs="Arial"/>
          <w:color w:val="000000" w:themeColor="text1"/>
        </w:rPr>
        <w:t>s</w:t>
      </w:r>
      <w:r>
        <w:rPr>
          <w:rFonts w:cs="Arial"/>
          <w:color w:val="000000" w:themeColor="text1"/>
        </w:rPr>
        <w:t xml:space="preserve"> of </w:t>
      </w:r>
      <w:r w:rsidR="003F6AC7">
        <w:rPr>
          <w:rFonts w:cs="Arial"/>
          <w:color w:val="000000" w:themeColor="text1"/>
        </w:rPr>
        <w:t xml:space="preserve">50% of </w:t>
      </w:r>
      <w:r w:rsidR="002C7387">
        <w:rPr>
          <w:rFonts w:cs="Arial"/>
          <w:color w:val="000000" w:themeColor="text1"/>
        </w:rPr>
        <w:t>profits due to the</w:t>
      </w:r>
      <w:r>
        <w:rPr>
          <w:rFonts w:cs="Arial"/>
          <w:color w:val="000000" w:themeColor="text1"/>
        </w:rPr>
        <w:t xml:space="preserve"> plaintiff </w:t>
      </w:r>
      <w:r w:rsidR="00E42576">
        <w:rPr>
          <w:rFonts w:cs="Arial"/>
          <w:color w:val="000000" w:themeColor="text1"/>
        </w:rPr>
        <w:t xml:space="preserve">from 1986 </w:t>
      </w:r>
      <w:r w:rsidR="00BC0AD4">
        <w:rPr>
          <w:rFonts w:cs="Arial"/>
          <w:color w:val="000000" w:themeColor="text1"/>
        </w:rPr>
        <w:t>on</w:t>
      </w:r>
      <w:r w:rsidR="00E42576">
        <w:rPr>
          <w:rFonts w:cs="Arial"/>
          <w:color w:val="000000" w:themeColor="text1"/>
        </w:rPr>
        <w:t>.</w:t>
      </w:r>
    </w:p>
    <w:p w:rsidR="00FB0A76" w:rsidRDefault="0076650C" w:rsidP="00D52CB4">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lastRenderedPageBreak/>
        <w:t xml:space="preserve">Thus, </w:t>
      </w:r>
      <w:r w:rsidR="002C7387">
        <w:rPr>
          <w:rFonts w:cs="Arial"/>
          <w:color w:val="000000" w:themeColor="text1"/>
        </w:rPr>
        <w:t xml:space="preserve">there is no </w:t>
      </w:r>
      <w:r w:rsidR="00157126">
        <w:rPr>
          <w:rFonts w:cs="Arial"/>
          <w:color w:val="000000" w:themeColor="text1"/>
        </w:rPr>
        <w:t xml:space="preserve">difference </w:t>
      </w:r>
      <w:r w:rsidR="00E0144A">
        <w:rPr>
          <w:rFonts w:cs="Arial"/>
          <w:color w:val="000000" w:themeColor="text1"/>
        </w:rPr>
        <w:t xml:space="preserve">between what is </w:t>
      </w:r>
      <w:r w:rsidR="00F76565">
        <w:rPr>
          <w:rFonts w:cs="Arial"/>
          <w:color w:val="000000" w:themeColor="text1"/>
        </w:rPr>
        <w:t xml:space="preserve">factually </w:t>
      </w:r>
      <w:r w:rsidR="00E0144A">
        <w:rPr>
          <w:rFonts w:cs="Arial"/>
          <w:color w:val="000000" w:themeColor="text1"/>
        </w:rPr>
        <w:t>alleg</w:t>
      </w:r>
      <w:r w:rsidR="00F76565">
        <w:rPr>
          <w:rFonts w:cs="Arial"/>
          <w:color w:val="000000" w:themeColor="text1"/>
        </w:rPr>
        <w:t>e</w:t>
      </w:r>
      <w:r w:rsidR="0048746C">
        <w:rPr>
          <w:rFonts w:cs="Arial"/>
          <w:color w:val="000000" w:themeColor="text1"/>
        </w:rPr>
        <w:t>d</w:t>
      </w:r>
      <w:r w:rsidR="00E0144A">
        <w:rPr>
          <w:rFonts w:cs="Arial"/>
          <w:color w:val="000000" w:themeColor="text1"/>
        </w:rPr>
        <w:t xml:space="preserve"> in the Amended Complaint and </w:t>
      </w:r>
      <w:r w:rsidR="00E42576">
        <w:rPr>
          <w:rFonts w:cs="Arial"/>
          <w:color w:val="000000" w:themeColor="text1"/>
        </w:rPr>
        <w:t>what defendants admit in the</w:t>
      </w:r>
      <w:r w:rsidR="00E0144A">
        <w:rPr>
          <w:rFonts w:cs="Arial"/>
          <w:color w:val="000000" w:themeColor="text1"/>
        </w:rPr>
        <w:t xml:space="preserve"> instant motion </w:t>
      </w:r>
      <w:r w:rsidR="003434DF">
        <w:rPr>
          <w:rFonts w:cs="Arial"/>
          <w:color w:val="000000" w:themeColor="text1"/>
        </w:rPr>
        <w:t xml:space="preserve">as to the EXISTENCE of </w:t>
      </w:r>
      <w:r w:rsidR="00157126" w:rsidRPr="00D17FB8">
        <w:rPr>
          <w:rFonts w:cs="Arial"/>
          <w:i/>
          <w:color w:val="000000" w:themeColor="text1"/>
          <w:u w:val="single"/>
        </w:rPr>
        <w:t>an</w:t>
      </w:r>
      <w:r w:rsidR="00157126" w:rsidRPr="00D17FB8">
        <w:rPr>
          <w:rFonts w:cs="Arial"/>
          <w:i/>
          <w:color w:val="000000" w:themeColor="text1"/>
        </w:rPr>
        <w:t xml:space="preserve"> </w:t>
      </w:r>
      <w:r w:rsidR="00F845E5" w:rsidRPr="00D17FB8">
        <w:rPr>
          <w:rFonts w:cs="Arial"/>
          <w:i/>
          <w:color w:val="000000" w:themeColor="text1"/>
        </w:rPr>
        <w:t>agreement</w:t>
      </w:r>
      <w:r w:rsidR="003434DF" w:rsidRPr="00D17FB8">
        <w:rPr>
          <w:rFonts w:cs="Arial"/>
          <w:i/>
          <w:color w:val="000000" w:themeColor="text1"/>
        </w:rPr>
        <w:t xml:space="preserve"> </w:t>
      </w:r>
      <w:r w:rsidR="002C7387">
        <w:rPr>
          <w:rFonts w:cs="Arial"/>
          <w:color w:val="000000" w:themeColor="text1"/>
        </w:rPr>
        <w:t>to share the profits of the three Plaza Extra supermarket</w:t>
      </w:r>
      <w:r w:rsidR="00CA1819">
        <w:rPr>
          <w:rFonts w:cs="Arial"/>
          <w:color w:val="000000" w:themeColor="text1"/>
        </w:rPr>
        <w:t>s.</w:t>
      </w:r>
    </w:p>
    <w:p w:rsidR="00A27861" w:rsidRDefault="00FB0A76" w:rsidP="00A27861">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rPr>
      </w:pPr>
      <w:r>
        <w:rPr>
          <w:rFonts w:cs="Arial"/>
          <w:color w:val="000000" w:themeColor="text1"/>
        </w:rPr>
        <w:tab/>
      </w:r>
      <w:r w:rsidR="002C7387">
        <w:rPr>
          <w:rFonts w:cs="Arial"/>
          <w:color w:val="000000" w:themeColor="text1"/>
        </w:rPr>
        <w:t xml:space="preserve">The only dispute </w:t>
      </w:r>
      <w:r w:rsidR="00F76565">
        <w:rPr>
          <w:rFonts w:cs="Arial"/>
          <w:color w:val="000000" w:themeColor="text1"/>
        </w:rPr>
        <w:t xml:space="preserve">now </w:t>
      </w:r>
      <w:r w:rsidR="002C7387">
        <w:rPr>
          <w:rFonts w:cs="Arial"/>
          <w:color w:val="000000" w:themeColor="text1"/>
        </w:rPr>
        <w:t>appears to</w:t>
      </w:r>
      <w:r w:rsidR="00E0144A">
        <w:rPr>
          <w:rFonts w:cs="Arial"/>
          <w:color w:val="000000" w:themeColor="text1"/>
        </w:rPr>
        <w:t xml:space="preserve"> </w:t>
      </w:r>
      <w:r w:rsidR="002C7387">
        <w:rPr>
          <w:rFonts w:cs="Arial"/>
          <w:color w:val="000000" w:themeColor="text1"/>
        </w:rPr>
        <w:t xml:space="preserve">be </w:t>
      </w:r>
      <w:r w:rsidR="00E0144A">
        <w:rPr>
          <w:rFonts w:cs="Arial"/>
          <w:color w:val="000000" w:themeColor="text1"/>
        </w:rPr>
        <w:t xml:space="preserve">whether </w:t>
      </w:r>
      <w:r w:rsidR="00C43264">
        <w:rPr>
          <w:rFonts w:cs="Arial"/>
          <w:color w:val="000000" w:themeColor="text1"/>
        </w:rPr>
        <w:t xml:space="preserve">the </w:t>
      </w:r>
      <w:r w:rsidR="00F76565">
        <w:rPr>
          <w:rFonts w:cs="Arial"/>
          <w:color w:val="000000" w:themeColor="text1"/>
        </w:rPr>
        <w:t xml:space="preserve">admitted </w:t>
      </w:r>
      <w:r w:rsidR="00C43264">
        <w:rPr>
          <w:rFonts w:cs="Arial"/>
          <w:color w:val="000000" w:themeColor="text1"/>
        </w:rPr>
        <w:t>relationship</w:t>
      </w:r>
      <w:r w:rsidR="00E0144A">
        <w:rPr>
          <w:rFonts w:cs="Arial"/>
          <w:color w:val="000000" w:themeColor="text1"/>
        </w:rPr>
        <w:t xml:space="preserve"> </w:t>
      </w:r>
      <w:r w:rsidR="00E7233A">
        <w:rPr>
          <w:rFonts w:cs="Arial"/>
          <w:color w:val="000000" w:themeColor="text1"/>
        </w:rPr>
        <w:t xml:space="preserve">should be called </w:t>
      </w:r>
      <w:r w:rsidR="00E0144A">
        <w:rPr>
          <w:rFonts w:cs="Arial"/>
          <w:color w:val="000000" w:themeColor="text1"/>
        </w:rPr>
        <w:t xml:space="preserve">a </w:t>
      </w:r>
      <w:r w:rsidR="00A60520">
        <w:rPr>
          <w:rFonts w:cs="Arial"/>
          <w:color w:val="000000" w:themeColor="text1"/>
        </w:rPr>
        <w:t>“</w:t>
      </w:r>
      <w:r w:rsidR="00E0144A">
        <w:rPr>
          <w:rFonts w:cs="Arial"/>
          <w:color w:val="000000" w:themeColor="text1"/>
        </w:rPr>
        <w:t>p</w:t>
      </w:r>
      <w:r w:rsidR="00665FCB">
        <w:rPr>
          <w:rFonts w:cs="Arial"/>
          <w:color w:val="000000" w:themeColor="text1"/>
        </w:rPr>
        <w:t>artnership</w:t>
      </w:r>
      <w:r w:rsidR="00A60520">
        <w:rPr>
          <w:rFonts w:cs="Arial"/>
          <w:color w:val="000000" w:themeColor="text1"/>
        </w:rPr>
        <w:t xml:space="preserve">” </w:t>
      </w:r>
      <w:r w:rsidR="00665FCB">
        <w:rPr>
          <w:rFonts w:cs="Arial"/>
          <w:color w:val="000000" w:themeColor="text1"/>
        </w:rPr>
        <w:t xml:space="preserve">or a </w:t>
      </w:r>
      <w:r w:rsidR="00A60520">
        <w:rPr>
          <w:rFonts w:cs="Arial"/>
          <w:color w:val="000000" w:themeColor="text1"/>
        </w:rPr>
        <w:t>“</w:t>
      </w:r>
      <w:r w:rsidR="00665FCB">
        <w:rPr>
          <w:rFonts w:cs="Arial"/>
          <w:color w:val="000000" w:themeColor="text1"/>
        </w:rPr>
        <w:t>joint venture</w:t>
      </w:r>
      <w:r w:rsidR="00A60520">
        <w:rPr>
          <w:rFonts w:cs="Arial"/>
          <w:color w:val="000000" w:themeColor="text1"/>
        </w:rPr>
        <w:t xml:space="preserve">.”  </w:t>
      </w:r>
      <w:r w:rsidR="002C7387">
        <w:rPr>
          <w:rFonts w:cs="Arial"/>
          <w:color w:val="000000" w:themeColor="text1"/>
        </w:rPr>
        <w:t>This “semantic” dispute is irrelevant in the Virgin Islands</w:t>
      </w:r>
      <w:r>
        <w:rPr>
          <w:rFonts w:cs="Arial"/>
          <w:color w:val="000000" w:themeColor="text1"/>
        </w:rPr>
        <w:t>, which</w:t>
      </w:r>
      <w:r>
        <w:rPr>
          <w:rFonts w:cs="Arial"/>
        </w:rPr>
        <w:t xml:space="preserve"> </w:t>
      </w:r>
      <w:r w:rsidRPr="005875B0">
        <w:rPr>
          <w:rFonts w:cs="Arial"/>
        </w:rPr>
        <w:t xml:space="preserve">follows the </w:t>
      </w:r>
      <w:r w:rsidR="00A60520">
        <w:rPr>
          <w:rFonts w:cs="Arial"/>
        </w:rPr>
        <w:t>“</w:t>
      </w:r>
      <w:r w:rsidRPr="005875B0">
        <w:rPr>
          <w:rFonts w:cs="Arial"/>
        </w:rPr>
        <w:t>fundamental rule of law</w:t>
      </w:r>
      <w:r w:rsidR="00A60520">
        <w:rPr>
          <w:rFonts w:cs="Arial"/>
        </w:rPr>
        <w:t>”</w:t>
      </w:r>
      <w:r w:rsidR="00A60520" w:rsidRPr="005875B0">
        <w:rPr>
          <w:rFonts w:cs="Arial"/>
        </w:rPr>
        <w:t xml:space="preserve"> </w:t>
      </w:r>
      <w:r w:rsidRPr="005875B0">
        <w:rPr>
          <w:rFonts w:cs="Arial"/>
        </w:rPr>
        <w:t xml:space="preserve">that a joint venture is a subspecies of partnership </w:t>
      </w:r>
      <w:r>
        <w:rPr>
          <w:rFonts w:cs="Arial"/>
        </w:rPr>
        <w:t>and is thus subject to the UPA.</w:t>
      </w:r>
      <w:r w:rsidR="00056ECD">
        <w:rPr>
          <w:rFonts w:cs="Arial"/>
        </w:rPr>
        <w:t xml:space="preserve"> </w:t>
      </w:r>
      <w:r w:rsidRPr="004029D3">
        <w:rPr>
          <w:rFonts w:cs="Arial"/>
        </w:rPr>
        <w:t xml:space="preserve"> </w:t>
      </w:r>
      <w:r w:rsidRPr="004029D3">
        <w:rPr>
          <w:rFonts w:eastAsiaTheme="minorEastAsia" w:cs="Arial"/>
          <w:i/>
          <w:lang w:eastAsia="ja-JP"/>
        </w:rPr>
        <w:t>Boudreaux v. Sandstone Group,</w:t>
      </w:r>
      <w:r w:rsidRPr="004029D3">
        <w:rPr>
          <w:rFonts w:eastAsiaTheme="minorEastAsia" w:cs="Arial"/>
          <w:lang w:eastAsia="ja-JP"/>
        </w:rPr>
        <w:t xml:space="preserve"> 1997 WL 289867, 6 (Terr.Ct. </w:t>
      </w:r>
      <w:r w:rsidRPr="004029D3">
        <w:rPr>
          <w:rFonts w:eastAsiaTheme="minorEastAsia" w:cs="Arial"/>
          <w:bCs/>
          <w:lang w:eastAsia="ja-JP"/>
        </w:rPr>
        <w:t>1997</w:t>
      </w:r>
      <w:r>
        <w:rPr>
          <w:rFonts w:eastAsiaTheme="minorEastAsia" w:cs="Arial"/>
          <w:lang w:eastAsia="ja-JP"/>
        </w:rPr>
        <w:t>)</w:t>
      </w:r>
      <w:r w:rsidR="00E42576">
        <w:rPr>
          <w:rFonts w:cs="Arial"/>
          <w:color w:val="000000" w:themeColor="text1"/>
        </w:rPr>
        <w:t>.</w:t>
      </w:r>
      <w:r w:rsidR="00C246AC" w:rsidRPr="006B7DAC">
        <w:rPr>
          <w:rStyle w:val="FootnoteReference"/>
          <w:rFonts w:cs="Arial"/>
        </w:rPr>
        <w:footnoteReference w:id="1"/>
      </w:r>
      <w:r w:rsidR="00CB3B20">
        <w:rPr>
          <w:rFonts w:cs="Arial"/>
          <w:color w:val="000000" w:themeColor="text1"/>
        </w:rPr>
        <w:t xml:space="preserve">  </w:t>
      </w:r>
      <w:r w:rsidR="00D6353D">
        <w:rPr>
          <w:rFonts w:cs="Arial"/>
        </w:rPr>
        <w:t>W</w:t>
      </w:r>
      <w:r w:rsidR="003E7133">
        <w:rPr>
          <w:rFonts w:cs="Arial"/>
        </w:rPr>
        <w:t xml:space="preserve">ith this comment in mind, it is </w:t>
      </w:r>
      <w:r w:rsidR="00EB2FB3">
        <w:rPr>
          <w:rFonts w:cs="Arial"/>
        </w:rPr>
        <w:t>appropriate to turn</w:t>
      </w:r>
      <w:r w:rsidR="003E7133">
        <w:rPr>
          <w:rFonts w:cs="Arial"/>
        </w:rPr>
        <w:t xml:space="preserve"> defendants’ Rule 12 </w:t>
      </w:r>
      <w:r w:rsidR="00EB2FB3">
        <w:rPr>
          <w:rFonts w:cs="Arial"/>
        </w:rPr>
        <w:t>motion.</w:t>
      </w:r>
    </w:p>
    <w:p w:rsidR="00962C3C" w:rsidRPr="00A27861" w:rsidRDefault="00696E93" w:rsidP="00A27861">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rPr>
      </w:pPr>
      <w:r>
        <w:rPr>
          <w:rFonts w:cs="Arial"/>
          <w:b/>
        </w:rPr>
        <w:tab/>
      </w:r>
      <w:r w:rsidR="00A27861">
        <w:rPr>
          <w:rFonts w:cs="Arial"/>
          <w:b/>
        </w:rPr>
        <w:t xml:space="preserve">II. </w:t>
      </w:r>
      <w:r w:rsidR="00962C3C">
        <w:rPr>
          <w:rFonts w:cs="Arial"/>
          <w:b/>
          <w:color w:val="000000" w:themeColor="text1"/>
        </w:rPr>
        <w:t xml:space="preserve">Rule 12(b)(6) </w:t>
      </w:r>
    </w:p>
    <w:p w:rsidR="006A3393" w:rsidRPr="00F522D8" w:rsidRDefault="00CB3B20" w:rsidP="009710E3">
      <w:pPr>
        <w:spacing w:line="480" w:lineRule="auto"/>
        <w:ind w:firstLine="720"/>
        <w:jc w:val="both"/>
        <w:rPr>
          <w:rFonts w:cs="Arial"/>
          <w:color w:val="000000" w:themeColor="text1"/>
        </w:rPr>
      </w:pPr>
      <w:r>
        <w:rPr>
          <w:rFonts w:cs="Arial"/>
          <w:color w:val="000000" w:themeColor="text1"/>
        </w:rPr>
        <w:t>D</w:t>
      </w:r>
      <w:r w:rsidR="00CA7421">
        <w:rPr>
          <w:rFonts w:cs="Arial"/>
          <w:color w:val="000000" w:themeColor="text1"/>
        </w:rPr>
        <w:t>efendant</w:t>
      </w:r>
      <w:r>
        <w:rPr>
          <w:rFonts w:cs="Arial"/>
          <w:color w:val="000000" w:themeColor="text1"/>
        </w:rPr>
        <w:t>s</w:t>
      </w:r>
      <w:r w:rsidR="00CA7421">
        <w:rPr>
          <w:rFonts w:cs="Arial"/>
          <w:color w:val="000000" w:themeColor="text1"/>
        </w:rPr>
        <w:t xml:space="preserve"> first argue that the motion should be dismissed under Rule 12(b)(6). </w:t>
      </w:r>
      <w:r w:rsidR="003428ED">
        <w:rPr>
          <w:rFonts w:cs="Arial"/>
          <w:color w:val="000000" w:themeColor="text1"/>
        </w:rPr>
        <w:t xml:space="preserve"> </w:t>
      </w:r>
      <w:r w:rsidR="006A3393" w:rsidRPr="00F522D8">
        <w:rPr>
          <w:rFonts w:cs="Arial"/>
          <w:color w:val="000000" w:themeColor="text1"/>
        </w:rPr>
        <w:t xml:space="preserve">As noted by this Court in </w:t>
      </w:r>
      <w:r w:rsidR="006A3393" w:rsidRPr="00F522D8">
        <w:rPr>
          <w:rFonts w:cs="Arial"/>
          <w:i/>
          <w:iCs/>
          <w:color w:val="000000" w:themeColor="text1"/>
          <w:kern w:val="36"/>
        </w:rPr>
        <w:t xml:space="preserve">Watts v. Blake-Coleman, </w:t>
      </w:r>
      <w:r w:rsidR="009F3636">
        <w:rPr>
          <w:rFonts w:cs="Arial"/>
          <w:color w:val="000000" w:themeColor="text1"/>
        </w:rPr>
        <w:t xml:space="preserve">2012 WL 1080323 at </w:t>
      </w:r>
      <w:r w:rsidR="006A3393" w:rsidRPr="00F522D8">
        <w:rPr>
          <w:rFonts w:cs="Arial"/>
          <w:color w:val="000000" w:themeColor="text1"/>
        </w:rPr>
        <w:t>1 (D.V.I. 2012):</w:t>
      </w:r>
    </w:p>
    <w:p w:rsidR="006A3393" w:rsidRPr="00F522D8" w:rsidRDefault="006A3393" w:rsidP="006A3393">
      <w:pPr>
        <w:ind w:left="720"/>
        <w:jc w:val="both"/>
        <w:rPr>
          <w:rFonts w:cs="Arial"/>
          <w:color w:val="000000" w:themeColor="text1"/>
        </w:rPr>
      </w:pPr>
      <w:r w:rsidRPr="00F522D8">
        <w:rPr>
          <w:rFonts w:cs="Arial"/>
          <w:color w:val="000000" w:themeColor="text1"/>
        </w:rPr>
        <w:t xml:space="preserve">In order to survive a motion to dismiss, a plaintiff must offer </w:t>
      </w:r>
      <w:r w:rsidR="00346D28">
        <w:rPr>
          <w:rFonts w:cs="Arial"/>
          <w:color w:val="000000" w:themeColor="text1"/>
        </w:rPr>
        <w:t>‘</w:t>
      </w:r>
      <w:r w:rsidRPr="00F522D8">
        <w:rPr>
          <w:rFonts w:cs="Arial"/>
          <w:color w:val="000000" w:themeColor="text1"/>
        </w:rPr>
        <w:t>enough facts to state a claim to relief that is plausible on its face.</w:t>
      </w:r>
      <w:r w:rsidR="00346D28">
        <w:rPr>
          <w:rFonts w:cs="Arial"/>
          <w:color w:val="000000" w:themeColor="text1"/>
        </w:rPr>
        <w:t>’</w:t>
      </w:r>
      <w:r w:rsidRPr="00F522D8">
        <w:rPr>
          <w:rFonts w:cs="Arial"/>
          <w:color w:val="000000" w:themeColor="text1"/>
        </w:rPr>
        <w:t xml:space="preserve"> A court must ask whether the complaint </w:t>
      </w:r>
      <w:r w:rsidR="00346D28">
        <w:rPr>
          <w:rFonts w:cs="Arial"/>
          <w:color w:val="000000" w:themeColor="text1"/>
        </w:rPr>
        <w:t>‘</w:t>
      </w:r>
      <w:r w:rsidRPr="00F522D8">
        <w:rPr>
          <w:rFonts w:cs="Arial"/>
          <w:color w:val="000000" w:themeColor="text1"/>
        </w:rPr>
        <w:t xml:space="preserve">contains either direct or inferential allegations respecting all the material elements necessary to sustain recovery under </w:t>
      </w:r>
      <w:r w:rsidRPr="00F522D8">
        <w:rPr>
          <w:rFonts w:cs="Arial"/>
          <w:i/>
          <w:iCs/>
          <w:color w:val="000000" w:themeColor="text1"/>
        </w:rPr>
        <w:t xml:space="preserve">some </w:t>
      </w:r>
      <w:r w:rsidRPr="00F522D8">
        <w:rPr>
          <w:rFonts w:cs="Arial"/>
          <w:color w:val="000000" w:themeColor="text1"/>
        </w:rPr>
        <w:t>viable legal theory.</w:t>
      </w:r>
      <w:r w:rsidR="00346D28">
        <w:rPr>
          <w:rFonts w:cs="Arial"/>
          <w:color w:val="000000" w:themeColor="text1"/>
        </w:rPr>
        <w:t>’</w:t>
      </w:r>
      <w:r w:rsidR="00056723">
        <w:rPr>
          <w:rFonts w:cs="Arial"/>
          <w:color w:val="000000" w:themeColor="text1"/>
        </w:rPr>
        <w:t xml:space="preserve"> (E</w:t>
      </w:r>
      <w:r w:rsidR="00BC2326">
        <w:rPr>
          <w:rFonts w:cs="Arial"/>
          <w:color w:val="000000" w:themeColor="text1"/>
        </w:rPr>
        <w:t>mphasis in original</w:t>
      </w:r>
      <w:r w:rsidR="004726E9">
        <w:rPr>
          <w:rFonts w:cs="Arial"/>
          <w:color w:val="000000" w:themeColor="text1"/>
        </w:rPr>
        <w:t>) (</w:t>
      </w:r>
      <w:r w:rsidR="00056723">
        <w:rPr>
          <w:rFonts w:cs="Arial"/>
          <w:color w:val="000000" w:themeColor="text1"/>
        </w:rPr>
        <w:t>C</w:t>
      </w:r>
      <w:r w:rsidR="00BC2326">
        <w:rPr>
          <w:rFonts w:cs="Arial"/>
          <w:color w:val="000000" w:themeColor="text1"/>
        </w:rPr>
        <w:t>itation omitted)</w:t>
      </w:r>
    </w:p>
    <w:p w:rsidR="006A3393" w:rsidRPr="00F522D8" w:rsidRDefault="006A3393" w:rsidP="006A3393">
      <w:pPr>
        <w:ind w:left="720"/>
        <w:jc w:val="both"/>
        <w:rPr>
          <w:rFonts w:cs="Arial"/>
          <w:color w:val="000000" w:themeColor="text1"/>
        </w:rPr>
      </w:pPr>
    </w:p>
    <w:p w:rsidR="006A3393" w:rsidRPr="00F522D8" w:rsidRDefault="006A3393" w:rsidP="006A3393">
      <w:pPr>
        <w:ind w:left="720"/>
        <w:jc w:val="both"/>
        <w:rPr>
          <w:rFonts w:cs="Arial"/>
          <w:color w:val="000000" w:themeColor="text1"/>
        </w:rPr>
      </w:pPr>
      <w:r w:rsidRPr="00F522D8">
        <w:rPr>
          <w:rFonts w:cs="Arial"/>
          <w:color w:val="000000" w:themeColor="text1"/>
          <w:kern w:val="36"/>
        </w:rPr>
        <w:t>While a complaint attacked by a Rule 12(b)(6) motion to dismiss does not need detailed factual allegations, a plaintiff's obligation to provide the ‘</w:t>
      </w:r>
      <w:r w:rsidR="003428ED" w:rsidRPr="00F522D8">
        <w:rPr>
          <w:rFonts w:cs="Arial"/>
          <w:color w:val="000000" w:themeColor="text1"/>
          <w:kern w:val="36"/>
        </w:rPr>
        <w:t>grounds</w:t>
      </w:r>
      <w:r w:rsidR="003428ED">
        <w:rPr>
          <w:rFonts w:cs="Arial"/>
          <w:color w:val="000000" w:themeColor="text1"/>
          <w:kern w:val="36"/>
        </w:rPr>
        <w:t>’</w:t>
      </w:r>
      <w:r w:rsidR="003428ED" w:rsidRPr="00F522D8">
        <w:rPr>
          <w:rFonts w:cs="Arial"/>
          <w:color w:val="000000" w:themeColor="text1"/>
          <w:kern w:val="36"/>
        </w:rPr>
        <w:t xml:space="preserve"> </w:t>
      </w:r>
      <w:r w:rsidRPr="00F522D8">
        <w:rPr>
          <w:rFonts w:cs="Arial"/>
          <w:color w:val="000000" w:themeColor="text1"/>
          <w:kern w:val="36"/>
        </w:rPr>
        <w:t xml:space="preserve">of his ‘entitlement to relief’ requires more than labels and conclusions, and a formulaic recitation of a cause of </w:t>
      </w:r>
      <w:r w:rsidR="003428ED" w:rsidRPr="00F522D8">
        <w:rPr>
          <w:rFonts w:cs="Arial"/>
          <w:color w:val="000000" w:themeColor="text1"/>
          <w:kern w:val="36"/>
        </w:rPr>
        <w:t>action</w:t>
      </w:r>
      <w:r w:rsidR="003428ED">
        <w:rPr>
          <w:rFonts w:cs="Arial"/>
          <w:color w:val="000000" w:themeColor="text1"/>
          <w:kern w:val="36"/>
        </w:rPr>
        <w:t>’</w:t>
      </w:r>
      <w:r w:rsidR="003428ED" w:rsidRPr="00F522D8">
        <w:rPr>
          <w:rFonts w:cs="Arial"/>
          <w:color w:val="000000" w:themeColor="text1"/>
          <w:kern w:val="36"/>
        </w:rPr>
        <w:t xml:space="preserve">s </w:t>
      </w:r>
      <w:r w:rsidRPr="00F522D8">
        <w:rPr>
          <w:rFonts w:cs="Arial"/>
          <w:color w:val="000000" w:themeColor="text1"/>
          <w:kern w:val="36"/>
        </w:rPr>
        <w:t>elements will not do.</w:t>
      </w:r>
      <w:r w:rsidR="00733BD9">
        <w:rPr>
          <w:rFonts w:cs="Arial"/>
          <w:color w:val="000000" w:themeColor="text1"/>
          <w:kern w:val="36"/>
        </w:rPr>
        <w:t xml:space="preserve"> </w:t>
      </w:r>
      <w:r w:rsidRPr="00F522D8">
        <w:rPr>
          <w:rFonts w:cs="Arial"/>
          <w:color w:val="000000" w:themeColor="text1"/>
          <w:kern w:val="36"/>
        </w:rPr>
        <w:t xml:space="preserve"> Thus, [t]o survive a motion to dismiss, a ... plaintiff must allege facts that raise a right to relief above the </w:t>
      </w:r>
      <w:r w:rsidRPr="00F522D8">
        <w:rPr>
          <w:rFonts w:cs="Arial"/>
          <w:color w:val="000000" w:themeColor="text1"/>
          <w:kern w:val="36"/>
        </w:rPr>
        <w:lastRenderedPageBreak/>
        <w:t>speculative level on the assumption that the allegations in the complaint are true (even if doubtful in fact).</w:t>
      </w:r>
      <w:r w:rsidR="004726E9">
        <w:rPr>
          <w:rFonts w:cs="Arial"/>
          <w:color w:val="000000" w:themeColor="text1"/>
          <w:kern w:val="36"/>
        </w:rPr>
        <w:t xml:space="preserve"> </w:t>
      </w:r>
      <w:r w:rsidRPr="00F522D8">
        <w:rPr>
          <w:rFonts w:cs="Arial"/>
          <w:color w:val="000000" w:themeColor="text1"/>
        </w:rPr>
        <w:t xml:space="preserve"> (</w:t>
      </w:r>
      <w:r w:rsidR="00CE612A">
        <w:rPr>
          <w:rFonts w:cs="Arial"/>
          <w:color w:val="000000" w:themeColor="text1"/>
        </w:rPr>
        <w:t>Q</w:t>
      </w:r>
      <w:r w:rsidRPr="00F522D8">
        <w:rPr>
          <w:rFonts w:cs="Arial"/>
          <w:color w:val="000000" w:themeColor="text1"/>
        </w:rPr>
        <w:t>uotations omitted) (</w:t>
      </w:r>
      <w:r w:rsidR="00CE612A">
        <w:rPr>
          <w:rFonts w:cs="Arial"/>
          <w:color w:val="000000" w:themeColor="text1"/>
        </w:rPr>
        <w:t>C</w:t>
      </w:r>
      <w:r w:rsidRPr="00F522D8">
        <w:rPr>
          <w:rFonts w:cs="Arial"/>
          <w:color w:val="000000" w:themeColor="text1"/>
        </w:rPr>
        <w:t>itations omitted)</w:t>
      </w:r>
    </w:p>
    <w:p w:rsidR="006A3393" w:rsidRPr="00F522D8" w:rsidRDefault="006A3393" w:rsidP="006A3393">
      <w:pPr>
        <w:ind w:left="720"/>
        <w:jc w:val="both"/>
        <w:rPr>
          <w:rFonts w:cs="Arial"/>
          <w:color w:val="000000" w:themeColor="text1"/>
        </w:rPr>
      </w:pPr>
    </w:p>
    <w:p w:rsidR="006A3393" w:rsidRPr="00F522D8" w:rsidRDefault="006A3393" w:rsidP="006A3393">
      <w:pPr>
        <w:spacing w:line="480" w:lineRule="auto"/>
        <w:rPr>
          <w:rFonts w:cs="Arial"/>
          <w:bCs/>
          <w:iCs/>
          <w:color w:val="000000" w:themeColor="text1"/>
        </w:rPr>
      </w:pPr>
      <w:r w:rsidRPr="00F522D8">
        <w:rPr>
          <w:rFonts w:cs="Arial"/>
          <w:bCs/>
          <w:iCs/>
          <w:color w:val="000000" w:themeColor="text1"/>
        </w:rPr>
        <w:t xml:space="preserve">In addressing the particularity of the claim alleged, this Court noted further in </w:t>
      </w:r>
      <w:r w:rsidRPr="00F522D8">
        <w:rPr>
          <w:rFonts w:cs="Arial"/>
          <w:bCs/>
          <w:i/>
          <w:iCs/>
          <w:color w:val="000000" w:themeColor="text1"/>
        </w:rPr>
        <w:t>Watts</w:t>
      </w:r>
      <w:r w:rsidRPr="00F522D8">
        <w:rPr>
          <w:rFonts w:cs="Arial"/>
          <w:bCs/>
          <w:iCs/>
          <w:color w:val="000000" w:themeColor="text1"/>
        </w:rPr>
        <w:t>:</w:t>
      </w:r>
    </w:p>
    <w:p w:rsidR="006A3393" w:rsidRPr="00186836" w:rsidRDefault="006A3393" w:rsidP="006A3393">
      <w:pPr>
        <w:ind w:left="720"/>
        <w:jc w:val="both"/>
        <w:rPr>
          <w:rFonts w:cs="Arial"/>
          <w:color w:val="000000" w:themeColor="text1"/>
        </w:rPr>
      </w:pPr>
      <w:r w:rsidRPr="00F522D8">
        <w:rPr>
          <w:rFonts w:cs="Arial"/>
          <w:color w:val="000000" w:themeColor="text1"/>
        </w:rPr>
        <w:t>To determine the sufficiency of a complaint . . . a court must take three steps: First, the court must take note of the elements a plaintiff must plead to state a claim. . . . Second, the court should identify allegations that, because they are no more than conclusions, are not entitled to the assumption of truth. . . . Finally, where there are well-pleaded factual allegations, a court should assume their veracity and then determine whether they plausibly give rise to an entitlement for relief. (</w:t>
      </w:r>
      <w:r w:rsidR="00056723">
        <w:rPr>
          <w:rFonts w:cs="Arial"/>
          <w:color w:val="000000" w:themeColor="text1"/>
        </w:rPr>
        <w:t>Q</w:t>
      </w:r>
      <w:r w:rsidR="00511BF2" w:rsidRPr="00F522D8">
        <w:rPr>
          <w:rFonts w:cs="Arial"/>
          <w:color w:val="000000" w:themeColor="text1"/>
        </w:rPr>
        <w:t xml:space="preserve">uotations </w:t>
      </w:r>
      <w:r w:rsidRPr="00F522D8">
        <w:rPr>
          <w:rFonts w:cs="Arial"/>
          <w:color w:val="000000" w:themeColor="text1"/>
        </w:rPr>
        <w:t>omitted)</w:t>
      </w:r>
      <w:r w:rsidR="00511BF2">
        <w:rPr>
          <w:rFonts w:cs="Arial"/>
          <w:color w:val="000000" w:themeColor="text1"/>
        </w:rPr>
        <w:t xml:space="preserve"> </w:t>
      </w:r>
      <w:r w:rsidRPr="00F522D8">
        <w:rPr>
          <w:rFonts w:cs="Arial"/>
          <w:color w:val="000000" w:themeColor="text1"/>
        </w:rPr>
        <w:t>(</w:t>
      </w:r>
      <w:r w:rsidR="00056723">
        <w:rPr>
          <w:rFonts w:cs="Arial"/>
          <w:color w:val="000000" w:themeColor="text1"/>
        </w:rPr>
        <w:t>C</w:t>
      </w:r>
      <w:r w:rsidR="00511BF2" w:rsidRPr="00F522D8">
        <w:rPr>
          <w:rFonts w:cs="Arial"/>
          <w:color w:val="000000" w:themeColor="text1"/>
        </w:rPr>
        <w:t xml:space="preserve">itations </w:t>
      </w:r>
      <w:r w:rsidRPr="00F522D8">
        <w:rPr>
          <w:rFonts w:cs="Arial"/>
          <w:color w:val="000000" w:themeColor="text1"/>
        </w:rPr>
        <w:t>omitted)</w:t>
      </w:r>
      <w:r w:rsidR="00511BF2">
        <w:rPr>
          <w:rFonts w:cs="Arial"/>
          <w:color w:val="000000" w:themeColor="text1"/>
        </w:rPr>
        <w:t xml:space="preserve"> </w:t>
      </w:r>
      <w:r w:rsidR="00186836">
        <w:rPr>
          <w:rFonts w:cs="Arial"/>
          <w:color w:val="000000" w:themeColor="text1"/>
        </w:rPr>
        <w:t xml:space="preserve"> </w:t>
      </w:r>
      <w:proofErr w:type="gramStart"/>
      <w:r w:rsidR="00186836">
        <w:rPr>
          <w:rFonts w:cs="Arial"/>
          <w:i/>
          <w:color w:val="000000" w:themeColor="text1"/>
        </w:rPr>
        <w:t xml:space="preserve">Id. </w:t>
      </w:r>
      <w:r w:rsidR="00186836">
        <w:rPr>
          <w:rFonts w:cs="Arial"/>
          <w:color w:val="000000" w:themeColor="text1"/>
        </w:rPr>
        <w:t>at 2.</w:t>
      </w:r>
      <w:proofErr w:type="gramEnd"/>
    </w:p>
    <w:p w:rsidR="006A3393" w:rsidRDefault="006A3393" w:rsidP="00CA7421">
      <w:pPr>
        <w:tabs>
          <w:tab w:val="left" w:pos="720"/>
          <w:tab w:val="left" w:pos="1440"/>
          <w:tab w:val="left" w:pos="2160"/>
          <w:tab w:val="left" w:pos="2880"/>
          <w:tab w:val="left" w:pos="3600"/>
          <w:tab w:val="left" w:pos="4320"/>
          <w:tab w:val="left" w:pos="5040"/>
          <w:tab w:val="left" w:pos="5760"/>
        </w:tabs>
        <w:autoSpaceDE w:val="0"/>
        <w:autoSpaceDN w:val="0"/>
        <w:adjustRightInd w:val="0"/>
        <w:rPr>
          <w:rFonts w:cs="Arial"/>
          <w:b/>
          <w:color w:val="000000" w:themeColor="text1"/>
        </w:rPr>
      </w:pPr>
    </w:p>
    <w:p w:rsidR="00CA7421" w:rsidRDefault="00FC4CFF" w:rsidP="00A27861">
      <w:pPr>
        <w:tabs>
          <w:tab w:val="left" w:pos="720"/>
          <w:tab w:val="left" w:pos="1440"/>
          <w:tab w:val="left" w:pos="2160"/>
          <w:tab w:val="left" w:pos="2880"/>
          <w:tab w:val="left" w:pos="324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D</w:t>
      </w:r>
      <w:r w:rsidR="00CA7421">
        <w:rPr>
          <w:rFonts w:cs="Arial"/>
          <w:color w:val="000000" w:themeColor="text1"/>
        </w:rPr>
        <w:t xml:space="preserve">efendants concede </w:t>
      </w:r>
      <w:r w:rsidR="00157126">
        <w:rPr>
          <w:rFonts w:cs="Arial"/>
          <w:color w:val="000000" w:themeColor="text1"/>
        </w:rPr>
        <w:t>(at</w:t>
      </w:r>
      <w:r w:rsidR="00CA7421">
        <w:rPr>
          <w:rFonts w:cs="Arial"/>
          <w:color w:val="000000" w:themeColor="text1"/>
        </w:rPr>
        <w:t xml:space="preserve"> 7-8 of </w:t>
      </w:r>
      <w:r w:rsidR="0063648C">
        <w:rPr>
          <w:rFonts w:cs="Arial"/>
          <w:color w:val="000000" w:themeColor="text1"/>
        </w:rPr>
        <w:t>their Rule 12 memorandum</w:t>
      </w:r>
      <w:r w:rsidR="00157126">
        <w:rPr>
          <w:rFonts w:cs="Arial"/>
          <w:color w:val="000000" w:themeColor="text1"/>
        </w:rPr>
        <w:t>)</w:t>
      </w:r>
      <w:r w:rsidR="00CA7421">
        <w:rPr>
          <w:rFonts w:cs="Arial"/>
          <w:color w:val="000000" w:themeColor="text1"/>
        </w:rPr>
        <w:t xml:space="preserve"> that the Court should consider the allegations in the complaint, any attached exhibits and </w:t>
      </w:r>
      <w:r w:rsidR="00AA67AC">
        <w:rPr>
          <w:rFonts w:cs="Arial"/>
          <w:color w:val="000000" w:themeColor="text1"/>
        </w:rPr>
        <w:t xml:space="preserve">undisputable </w:t>
      </w:r>
      <w:r w:rsidR="00CA7421">
        <w:rPr>
          <w:rFonts w:cs="Arial"/>
          <w:color w:val="000000" w:themeColor="text1"/>
        </w:rPr>
        <w:t>matters of publi</w:t>
      </w:r>
      <w:r w:rsidR="00AA67AC">
        <w:rPr>
          <w:rFonts w:cs="Arial"/>
          <w:color w:val="000000" w:themeColor="text1"/>
        </w:rPr>
        <w:t>c record</w:t>
      </w:r>
      <w:r w:rsidR="00CA7421">
        <w:rPr>
          <w:rFonts w:cs="Arial"/>
          <w:color w:val="000000" w:themeColor="text1"/>
        </w:rPr>
        <w:t>.</w:t>
      </w:r>
      <w:r w:rsidR="00D6353D">
        <w:rPr>
          <w:rFonts w:cs="Arial"/>
          <w:color w:val="000000" w:themeColor="text1"/>
        </w:rPr>
        <w:t xml:space="preserve">  </w:t>
      </w:r>
      <w:r w:rsidR="004A402F" w:rsidRPr="00F522D8">
        <w:rPr>
          <w:rFonts w:cs="Arial"/>
          <w:color w:val="000000" w:themeColor="text1"/>
        </w:rPr>
        <w:t>Th</w:t>
      </w:r>
      <w:r w:rsidR="004A402F">
        <w:rPr>
          <w:rFonts w:cs="Arial"/>
          <w:color w:val="000000" w:themeColor="text1"/>
        </w:rPr>
        <w:t xml:space="preserve">e </w:t>
      </w:r>
      <w:r w:rsidR="00AA67AC">
        <w:rPr>
          <w:rFonts w:cs="Arial"/>
          <w:color w:val="000000" w:themeColor="text1"/>
        </w:rPr>
        <w:t xml:space="preserve">three Counts in the </w:t>
      </w:r>
      <w:r w:rsidR="00CA7421">
        <w:rPr>
          <w:rFonts w:cs="Arial"/>
          <w:color w:val="000000" w:themeColor="text1"/>
        </w:rPr>
        <w:t xml:space="preserve">amended </w:t>
      </w:r>
      <w:r w:rsidR="004A402F">
        <w:rPr>
          <w:rFonts w:cs="Arial"/>
          <w:color w:val="000000" w:themeColor="text1"/>
        </w:rPr>
        <w:t xml:space="preserve">complaint </w:t>
      </w:r>
      <w:r w:rsidR="00CA7421">
        <w:rPr>
          <w:rFonts w:cs="Arial"/>
          <w:color w:val="000000" w:themeColor="text1"/>
        </w:rPr>
        <w:t xml:space="preserve">clearly meet this </w:t>
      </w:r>
      <w:r w:rsidR="00BB7935">
        <w:rPr>
          <w:rFonts w:cs="Arial"/>
          <w:color w:val="000000" w:themeColor="text1"/>
        </w:rPr>
        <w:t xml:space="preserve">standard. </w:t>
      </w:r>
    </w:p>
    <w:p w:rsidR="00CA7421" w:rsidRPr="00EC16E7" w:rsidRDefault="00CA7421" w:rsidP="00CA7421">
      <w:pPr>
        <w:pStyle w:val="ListParagraph"/>
        <w:numPr>
          <w:ilvl w:val="0"/>
          <w:numId w:val="4"/>
        </w:numPr>
        <w:spacing w:line="480" w:lineRule="auto"/>
        <w:jc w:val="both"/>
        <w:rPr>
          <w:rFonts w:cs="Arial"/>
          <w:b/>
          <w:color w:val="000000" w:themeColor="text1"/>
          <w:u w:val="single"/>
        </w:rPr>
      </w:pPr>
      <w:r w:rsidRPr="00EC16E7">
        <w:rPr>
          <w:rFonts w:cs="Arial"/>
          <w:b/>
          <w:color w:val="000000" w:themeColor="text1"/>
          <w:u w:val="single"/>
        </w:rPr>
        <w:t>Count</w:t>
      </w:r>
      <w:r w:rsidR="00C536B0">
        <w:rPr>
          <w:rFonts w:cs="Arial"/>
          <w:b/>
          <w:color w:val="000000" w:themeColor="text1"/>
          <w:u w:val="single"/>
        </w:rPr>
        <w:t>s</w:t>
      </w:r>
      <w:r w:rsidRPr="00EC16E7">
        <w:rPr>
          <w:rFonts w:cs="Arial"/>
          <w:b/>
          <w:color w:val="000000" w:themeColor="text1"/>
          <w:u w:val="single"/>
        </w:rPr>
        <w:t xml:space="preserve"> I </w:t>
      </w:r>
      <w:r w:rsidR="007C063F" w:rsidRPr="00EC16E7">
        <w:rPr>
          <w:rFonts w:cs="Arial"/>
          <w:b/>
          <w:color w:val="000000" w:themeColor="text1"/>
          <w:u w:val="single"/>
        </w:rPr>
        <w:t>&amp; II</w:t>
      </w:r>
      <w:r w:rsidR="00C536B0">
        <w:rPr>
          <w:rFonts w:cs="Arial"/>
          <w:b/>
          <w:color w:val="000000" w:themeColor="text1"/>
          <w:u w:val="single"/>
        </w:rPr>
        <w:t xml:space="preserve"> </w:t>
      </w:r>
      <w:r w:rsidR="007C063F" w:rsidRPr="00EC16E7">
        <w:rPr>
          <w:rFonts w:cs="Arial"/>
          <w:b/>
          <w:color w:val="000000" w:themeColor="text1"/>
          <w:u w:val="single"/>
        </w:rPr>
        <w:t>-</w:t>
      </w:r>
      <w:r w:rsidR="00C536B0">
        <w:rPr>
          <w:rFonts w:cs="Arial"/>
          <w:b/>
          <w:color w:val="000000" w:themeColor="text1"/>
          <w:u w:val="single"/>
        </w:rPr>
        <w:t xml:space="preserve"> </w:t>
      </w:r>
      <w:r w:rsidR="00B9623B" w:rsidRPr="00EC16E7">
        <w:rPr>
          <w:rFonts w:cs="Arial"/>
          <w:b/>
          <w:color w:val="000000" w:themeColor="text1"/>
          <w:u w:val="single"/>
        </w:rPr>
        <w:t xml:space="preserve">Statutory </w:t>
      </w:r>
      <w:r w:rsidR="007C063F" w:rsidRPr="00EC16E7">
        <w:rPr>
          <w:rFonts w:cs="Arial"/>
          <w:b/>
          <w:color w:val="000000" w:themeColor="text1"/>
          <w:u w:val="single"/>
        </w:rPr>
        <w:t>Relief For a Partner under Title 26</w:t>
      </w:r>
    </w:p>
    <w:p w:rsidR="006771E4" w:rsidRDefault="006771E4" w:rsidP="00DD207C">
      <w:pPr>
        <w:spacing w:line="480" w:lineRule="auto"/>
        <w:ind w:firstLine="720"/>
        <w:jc w:val="both"/>
        <w:rPr>
          <w:rFonts w:cs="Arial"/>
          <w:color w:val="000000" w:themeColor="text1"/>
        </w:rPr>
      </w:pPr>
      <w:r>
        <w:rPr>
          <w:rFonts w:cs="Arial"/>
          <w:color w:val="000000" w:themeColor="text1"/>
        </w:rPr>
        <w:t>Count I</w:t>
      </w:r>
      <w:r w:rsidR="009710E3">
        <w:rPr>
          <w:rFonts w:cs="Arial"/>
          <w:color w:val="000000" w:themeColor="text1"/>
        </w:rPr>
        <w:t xml:space="preserve"> seeks declaratory relief and injunctive relief </w:t>
      </w:r>
      <w:r w:rsidR="00CB3B20">
        <w:rPr>
          <w:rFonts w:cs="Arial"/>
          <w:color w:val="000000" w:themeColor="text1"/>
        </w:rPr>
        <w:t xml:space="preserve">pursuant to </w:t>
      </w:r>
      <w:r w:rsidR="009710E3">
        <w:rPr>
          <w:rFonts w:cs="Arial"/>
          <w:color w:val="000000" w:themeColor="text1"/>
        </w:rPr>
        <w:t>the Virgin Isl</w:t>
      </w:r>
      <w:r w:rsidR="00AA67AC">
        <w:rPr>
          <w:rFonts w:cs="Arial"/>
          <w:color w:val="000000" w:themeColor="text1"/>
        </w:rPr>
        <w:t>ands partnership statutes, as expressly permitt</w:t>
      </w:r>
      <w:r w:rsidR="00DD207C">
        <w:rPr>
          <w:rFonts w:cs="Arial"/>
          <w:color w:val="000000" w:themeColor="text1"/>
        </w:rPr>
        <w:t>e</w:t>
      </w:r>
      <w:r w:rsidR="00AA67AC">
        <w:rPr>
          <w:rFonts w:cs="Arial"/>
          <w:color w:val="000000" w:themeColor="text1"/>
        </w:rPr>
        <w:t xml:space="preserve">d in </w:t>
      </w:r>
      <w:r w:rsidR="00DD207C">
        <w:rPr>
          <w:rFonts w:cs="Arial"/>
          <w:color w:val="000000" w:themeColor="text1"/>
        </w:rPr>
        <w:t xml:space="preserve">26 V.I.C. §75. </w:t>
      </w:r>
      <w:r w:rsidR="002B1D84">
        <w:rPr>
          <w:rFonts w:cs="Arial"/>
          <w:color w:val="000000" w:themeColor="text1"/>
        </w:rPr>
        <w:t xml:space="preserve"> Plaintiff </w:t>
      </w:r>
      <w:r w:rsidR="00CB3B20">
        <w:rPr>
          <w:rFonts w:cs="Arial"/>
          <w:color w:val="000000" w:themeColor="text1"/>
        </w:rPr>
        <w:t xml:space="preserve">avers </w:t>
      </w:r>
      <w:r w:rsidR="002B1D84">
        <w:rPr>
          <w:rFonts w:cs="Arial"/>
          <w:color w:val="000000" w:themeColor="text1"/>
        </w:rPr>
        <w:t xml:space="preserve">the existence of </w:t>
      </w:r>
      <w:r w:rsidR="00FC4CFF">
        <w:rPr>
          <w:rFonts w:cs="Arial"/>
          <w:color w:val="000000" w:themeColor="text1"/>
        </w:rPr>
        <w:t>a</w:t>
      </w:r>
      <w:r w:rsidR="002B1D84">
        <w:rPr>
          <w:rFonts w:cs="Arial"/>
          <w:color w:val="000000" w:themeColor="text1"/>
        </w:rPr>
        <w:t xml:space="preserve"> partnership and its </w:t>
      </w:r>
      <w:r w:rsidR="00FC4CFF">
        <w:rPr>
          <w:rFonts w:cs="Arial"/>
          <w:color w:val="000000" w:themeColor="text1"/>
        </w:rPr>
        <w:t xml:space="preserve">specific </w:t>
      </w:r>
      <w:r w:rsidR="002B1D84">
        <w:rPr>
          <w:rFonts w:cs="Arial"/>
          <w:color w:val="000000" w:themeColor="text1"/>
        </w:rPr>
        <w:t xml:space="preserve">terms.  </w:t>
      </w:r>
      <w:r w:rsidR="00B9623B">
        <w:rPr>
          <w:rFonts w:cs="Arial"/>
          <w:color w:val="000000" w:themeColor="text1"/>
        </w:rPr>
        <w:t xml:space="preserve">Count II </w:t>
      </w:r>
      <w:r w:rsidR="00DD207C">
        <w:rPr>
          <w:rFonts w:cs="Arial"/>
          <w:color w:val="000000" w:themeColor="text1"/>
        </w:rPr>
        <w:t xml:space="preserve">then </w:t>
      </w:r>
      <w:r w:rsidR="00B9623B">
        <w:rPr>
          <w:rFonts w:cs="Arial"/>
          <w:color w:val="000000" w:themeColor="text1"/>
        </w:rPr>
        <w:t xml:space="preserve">seeks </w:t>
      </w:r>
      <w:r w:rsidR="00FC4CFF">
        <w:rPr>
          <w:rFonts w:cs="Arial"/>
          <w:color w:val="000000" w:themeColor="text1"/>
        </w:rPr>
        <w:t xml:space="preserve">additional, </w:t>
      </w:r>
      <w:r w:rsidR="00B9623B">
        <w:rPr>
          <w:rFonts w:cs="Arial"/>
          <w:color w:val="000000" w:themeColor="text1"/>
        </w:rPr>
        <w:t xml:space="preserve">specific statutory relief </w:t>
      </w:r>
      <w:r w:rsidR="009E7894">
        <w:rPr>
          <w:rFonts w:cs="Arial"/>
          <w:color w:val="000000" w:themeColor="text1"/>
        </w:rPr>
        <w:t xml:space="preserve">against Fathi Yusuf </w:t>
      </w:r>
      <w:r w:rsidR="00CA7DEC">
        <w:rPr>
          <w:rFonts w:cs="Arial"/>
          <w:color w:val="000000" w:themeColor="text1"/>
        </w:rPr>
        <w:t xml:space="preserve">pursuant to </w:t>
      </w:r>
      <w:r w:rsidR="00DD207C">
        <w:rPr>
          <w:rFonts w:cs="Arial"/>
          <w:color w:val="000000" w:themeColor="text1"/>
        </w:rPr>
        <w:t>26</w:t>
      </w:r>
      <w:r w:rsidR="007C063F">
        <w:rPr>
          <w:rFonts w:cs="Arial"/>
          <w:color w:val="000000" w:themeColor="text1"/>
        </w:rPr>
        <w:t xml:space="preserve"> V.I.C. §121(5) </w:t>
      </w:r>
      <w:r w:rsidR="00A51C53">
        <w:rPr>
          <w:rFonts w:cs="Arial"/>
          <w:color w:val="000000" w:themeColor="text1"/>
        </w:rPr>
        <w:t xml:space="preserve">-- </w:t>
      </w:r>
      <w:r w:rsidR="007C063F">
        <w:rPr>
          <w:rFonts w:cs="Arial"/>
          <w:color w:val="000000" w:themeColor="text1"/>
        </w:rPr>
        <w:t xml:space="preserve">to </w:t>
      </w:r>
      <w:r w:rsidR="002B1D84">
        <w:rPr>
          <w:rFonts w:cs="Arial"/>
          <w:color w:val="000000" w:themeColor="text1"/>
        </w:rPr>
        <w:t xml:space="preserve">obtain </w:t>
      </w:r>
      <w:r w:rsidR="00E9311E">
        <w:rPr>
          <w:rFonts w:cs="Arial"/>
          <w:color w:val="000000" w:themeColor="text1"/>
        </w:rPr>
        <w:t xml:space="preserve">plaintiff’s </w:t>
      </w:r>
      <w:r w:rsidR="002B1D84">
        <w:rPr>
          <w:rFonts w:cs="Arial"/>
          <w:color w:val="000000" w:themeColor="text1"/>
        </w:rPr>
        <w:t xml:space="preserve">equal share of the partnership profits and </w:t>
      </w:r>
      <w:r w:rsidR="00A27861">
        <w:rPr>
          <w:rFonts w:cs="Arial"/>
          <w:color w:val="000000" w:themeColor="text1"/>
        </w:rPr>
        <w:t xml:space="preserve">protect his </w:t>
      </w:r>
      <w:r w:rsidR="00002FDE">
        <w:rPr>
          <w:rFonts w:cs="Arial"/>
          <w:color w:val="000000" w:themeColor="text1"/>
        </w:rPr>
        <w:t xml:space="preserve">equal </w:t>
      </w:r>
      <w:r w:rsidR="002B1D84">
        <w:rPr>
          <w:rFonts w:cs="Arial"/>
          <w:color w:val="000000" w:themeColor="text1"/>
        </w:rPr>
        <w:t>participation in the operations.</w:t>
      </w:r>
      <w:r w:rsidR="00BF57CB">
        <w:rPr>
          <w:rFonts w:cs="Arial"/>
          <w:color w:val="000000" w:themeColor="text1"/>
        </w:rPr>
        <w:t xml:space="preserve"> </w:t>
      </w:r>
      <w:r w:rsidR="002B1D84">
        <w:rPr>
          <w:rFonts w:cs="Arial"/>
          <w:color w:val="000000" w:themeColor="text1"/>
        </w:rPr>
        <w:t xml:space="preserve"> </w:t>
      </w:r>
      <w:r w:rsidR="00DD207C">
        <w:rPr>
          <w:rFonts w:cs="Arial"/>
          <w:color w:val="000000" w:themeColor="text1"/>
        </w:rPr>
        <w:t xml:space="preserve">These </w:t>
      </w:r>
      <w:r w:rsidR="009710E3">
        <w:rPr>
          <w:rFonts w:cs="Arial"/>
          <w:color w:val="000000" w:themeColor="text1"/>
        </w:rPr>
        <w:t>rights</w:t>
      </w:r>
      <w:r w:rsidR="00DD207C">
        <w:rPr>
          <w:rFonts w:cs="Arial"/>
          <w:color w:val="000000" w:themeColor="text1"/>
        </w:rPr>
        <w:t xml:space="preserve"> of a partner</w:t>
      </w:r>
      <w:r w:rsidR="009710E3">
        <w:rPr>
          <w:rFonts w:cs="Arial"/>
          <w:color w:val="000000" w:themeColor="text1"/>
        </w:rPr>
        <w:t xml:space="preserve"> are pr</w:t>
      </w:r>
      <w:r w:rsidR="00C75AAA">
        <w:rPr>
          <w:rFonts w:cs="Arial"/>
          <w:color w:val="000000" w:themeColor="text1"/>
        </w:rPr>
        <w:t xml:space="preserve">otected </w:t>
      </w:r>
      <w:r w:rsidR="00F8515F">
        <w:rPr>
          <w:rFonts w:cs="Arial"/>
          <w:color w:val="000000" w:themeColor="text1"/>
        </w:rPr>
        <w:t>by</w:t>
      </w:r>
      <w:r w:rsidR="00C75AAA">
        <w:rPr>
          <w:rFonts w:cs="Arial"/>
          <w:color w:val="000000" w:themeColor="text1"/>
        </w:rPr>
        <w:t xml:space="preserve"> Title </w:t>
      </w:r>
      <w:r w:rsidR="00DD207C">
        <w:rPr>
          <w:rFonts w:cs="Arial"/>
          <w:color w:val="000000" w:themeColor="text1"/>
        </w:rPr>
        <w:t>26</w:t>
      </w:r>
      <w:r w:rsidR="009710E3">
        <w:rPr>
          <w:rFonts w:cs="Arial"/>
          <w:color w:val="000000" w:themeColor="text1"/>
        </w:rPr>
        <w:t>:</w:t>
      </w:r>
    </w:p>
    <w:p w:rsidR="00DD207C" w:rsidRPr="001B2784" w:rsidRDefault="00DD207C" w:rsidP="00DD207C">
      <w:pPr>
        <w:ind w:firstLine="720"/>
        <w:jc w:val="both"/>
        <w:rPr>
          <w:rFonts w:cs="Arial"/>
          <w:b/>
        </w:rPr>
      </w:pPr>
      <w:r>
        <w:rPr>
          <w:rFonts w:cs="Arial"/>
          <w:b/>
        </w:rPr>
        <w:t xml:space="preserve">§ </w:t>
      </w:r>
      <w:r w:rsidRPr="001B2784">
        <w:rPr>
          <w:rFonts w:cs="Arial"/>
          <w:b/>
        </w:rPr>
        <w:t>71.  Partner’s rights and duties</w:t>
      </w:r>
    </w:p>
    <w:p w:rsidR="00DD207C" w:rsidRPr="001B2784" w:rsidRDefault="00DD207C" w:rsidP="00EC16E7">
      <w:pPr>
        <w:jc w:val="center"/>
        <w:rPr>
          <w:rFonts w:cs="Arial"/>
        </w:rPr>
      </w:pPr>
      <w:r w:rsidRPr="001B2784">
        <w:rPr>
          <w:rFonts w:cs="Arial"/>
        </w:rPr>
        <w:t>…</w:t>
      </w:r>
    </w:p>
    <w:p w:rsidR="00DD207C" w:rsidRPr="003666E9" w:rsidRDefault="00DD207C" w:rsidP="00DD207C">
      <w:pPr>
        <w:pStyle w:val="ListParagraph"/>
        <w:numPr>
          <w:ilvl w:val="0"/>
          <w:numId w:val="5"/>
        </w:numPr>
        <w:spacing w:after="200"/>
        <w:jc w:val="both"/>
        <w:rPr>
          <w:rFonts w:cs="Arial"/>
          <w:b/>
        </w:rPr>
      </w:pPr>
      <w:r w:rsidRPr="004D420C">
        <w:rPr>
          <w:rFonts w:cs="Arial"/>
          <w:b/>
        </w:rPr>
        <w:t xml:space="preserve"> Each partner is entitled to an equal share of the partnership profits . . .</w:t>
      </w:r>
      <w:r>
        <w:rPr>
          <w:rFonts w:cs="Arial"/>
          <w:b/>
        </w:rPr>
        <w:t xml:space="preserve"> </w:t>
      </w:r>
    </w:p>
    <w:p w:rsidR="00DD207C" w:rsidRPr="003666E9" w:rsidRDefault="00DD207C" w:rsidP="00EC16E7">
      <w:pPr>
        <w:pStyle w:val="ListParagraph"/>
        <w:ind w:left="0"/>
        <w:jc w:val="center"/>
        <w:rPr>
          <w:rFonts w:cs="Arial"/>
        </w:rPr>
      </w:pPr>
      <w:r w:rsidRPr="003666E9">
        <w:rPr>
          <w:rFonts w:cs="Arial"/>
        </w:rPr>
        <w:t>…</w:t>
      </w:r>
    </w:p>
    <w:p w:rsidR="00DD207C" w:rsidRPr="003666E9" w:rsidRDefault="00DD207C">
      <w:pPr>
        <w:ind w:left="720"/>
        <w:jc w:val="both"/>
        <w:rPr>
          <w:rFonts w:cs="Arial"/>
        </w:rPr>
      </w:pPr>
      <w:r w:rsidRPr="003666E9">
        <w:rPr>
          <w:rFonts w:cs="Arial"/>
          <w:b/>
        </w:rPr>
        <w:t xml:space="preserve">(f)  Each partner has equal rights in the management and conduct of the partnership business. </w:t>
      </w:r>
      <w:r w:rsidRPr="003666E9">
        <w:rPr>
          <w:rFonts w:cs="Arial"/>
        </w:rPr>
        <w:t>(Emphasis added</w:t>
      </w:r>
      <w:r w:rsidR="002B1D84">
        <w:rPr>
          <w:rFonts w:cs="Arial"/>
        </w:rPr>
        <w:t>.</w:t>
      </w:r>
      <w:r w:rsidRPr="003666E9">
        <w:rPr>
          <w:rFonts w:cs="Arial"/>
        </w:rPr>
        <w:t>)</w:t>
      </w:r>
    </w:p>
    <w:p w:rsidR="003666E9" w:rsidRDefault="003666E9" w:rsidP="00EC16E7">
      <w:pPr>
        <w:jc w:val="both"/>
        <w:rPr>
          <w:rFonts w:cs="Arial"/>
          <w:b/>
        </w:rPr>
      </w:pPr>
    </w:p>
    <w:p w:rsidR="00DD207C" w:rsidRDefault="00DD207C" w:rsidP="00EC16E7">
      <w:pPr>
        <w:spacing w:line="480" w:lineRule="auto"/>
        <w:jc w:val="both"/>
        <w:rPr>
          <w:rFonts w:cs="Arial"/>
        </w:rPr>
      </w:pPr>
      <w:r>
        <w:rPr>
          <w:rFonts w:cs="Arial"/>
          <w:color w:val="000000" w:themeColor="text1"/>
        </w:rPr>
        <w:t xml:space="preserve">In Count II, the plaintiff seeks additional relief </w:t>
      </w:r>
      <w:r w:rsidR="00CA7DEC">
        <w:rPr>
          <w:rFonts w:cs="Arial"/>
          <w:color w:val="000000" w:themeColor="text1"/>
        </w:rPr>
        <w:t xml:space="preserve">-- </w:t>
      </w:r>
      <w:r>
        <w:rPr>
          <w:rFonts w:cs="Arial"/>
          <w:color w:val="000000" w:themeColor="text1"/>
        </w:rPr>
        <w:t>allowing him to remove Yusuf from the partnership</w:t>
      </w:r>
      <w:r w:rsidR="007C063F">
        <w:rPr>
          <w:rFonts w:cs="Arial"/>
          <w:color w:val="000000" w:themeColor="text1"/>
        </w:rPr>
        <w:t xml:space="preserve"> under the provisions of 26 V.I.C. §121(5)</w:t>
      </w:r>
      <w:r w:rsidR="002B1D84">
        <w:rPr>
          <w:rFonts w:cs="Arial"/>
          <w:color w:val="000000" w:themeColor="text1"/>
        </w:rPr>
        <w:t xml:space="preserve"> </w:t>
      </w:r>
      <w:r w:rsidR="00A51C53">
        <w:rPr>
          <w:rFonts w:cs="Arial"/>
          <w:color w:val="000000" w:themeColor="text1"/>
        </w:rPr>
        <w:t xml:space="preserve">by forcing a </w:t>
      </w:r>
      <w:r w:rsidR="00A60520">
        <w:rPr>
          <w:rFonts w:cs="Arial"/>
          <w:color w:val="000000" w:themeColor="text1"/>
        </w:rPr>
        <w:t>“</w:t>
      </w:r>
      <w:r w:rsidR="00A51C53">
        <w:rPr>
          <w:rFonts w:cs="Arial"/>
          <w:color w:val="000000" w:themeColor="text1"/>
        </w:rPr>
        <w:t>selling out</w:t>
      </w:r>
      <w:r w:rsidR="00A60520">
        <w:rPr>
          <w:rFonts w:cs="Arial"/>
          <w:color w:val="000000" w:themeColor="text1"/>
        </w:rPr>
        <w:t xml:space="preserve">” </w:t>
      </w:r>
      <w:r w:rsidR="00A51C53">
        <w:rPr>
          <w:rFonts w:cs="Arial"/>
          <w:color w:val="000000" w:themeColor="text1"/>
        </w:rPr>
        <w:t xml:space="preserve">of his interests </w:t>
      </w:r>
      <w:r w:rsidR="00002FDE">
        <w:rPr>
          <w:rFonts w:cs="Arial"/>
          <w:color w:val="000000" w:themeColor="text1"/>
        </w:rPr>
        <w:t xml:space="preserve">(due to his wrongful acts) </w:t>
      </w:r>
      <w:r w:rsidR="002B1D84">
        <w:rPr>
          <w:rFonts w:cs="Arial"/>
          <w:color w:val="000000" w:themeColor="text1"/>
        </w:rPr>
        <w:t xml:space="preserve">while continuing the </w:t>
      </w:r>
      <w:r w:rsidR="005B295E">
        <w:rPr>
          <w:rFonts w:cs="Arial"/>
          <w:color w:val="000000" w:themeColor="text1"/>
        </w:rPr>
        <w:t xml:space="preserve">partnership’s </w:t>
      </w:r>
      <w:r w:rsidR="002B1D84">
        <w:rPr>
          <w:rFonts w:cs="Arial"/>
          <w:color w:val="000000" w:themeColor="text1"/>
        </w:rPr>
        <w:t>existence.</w:t>
      </w:r>
    </w:p>
    <w:p w:rsidR="003666E9" w:rsidRDefault="00C75AAA" w:rsidP="00EC16E7">
      <w:pPr>
        <w:spacing w:line="480" w:lineRule="auto"/>
        <w:ind w:firstLine="720"/>
        <w:jc w:val="both"/>
        <w:rPr>
          <w:rFonts w:cs="Arial"/>
        </w:rPr>
      </w:pPr>
      <w:r>
        <w:rPr>
          <w:rFonts w:cs="Arial"/>
        </w:rPr>
        <w:lastRenderedPageBreak/>
        <w:t>With these points in mind, t</w:t>
      </w:r>
      <w:r w:rsidR="00CD7FAE">
        <w:rPr>
          <w:rFonts w:cs="Arial"/>
        </w:rPr>
        <w:t xml:space="preserve">he first requirement </w:t>
      </w:r>
      <w:r w:rsidR="00A51C53">
        <w:rPr>
          <w:rFonts w:cs="Arial"/>
        </w:rPr>
        <w:t xml:space="preserve">for proper pleading of </w:t>
      </w:r>
      <w:r w:rsidR="00002FDE">
        <w:rPr>
          <w:rFonts w:cs="Arial"/>
        </w:rPr>
        <w:t xml:space="preserve">a </w:t>
      </w:r>
      <w:r w:rsidR="00A51C53">
        <w:rPr>
          <w:rFonts w:cs="Arial"/>
        </w:rPr>
        <w:t xml:space="preserve">complaint is </w:t>
      </w:r>
      <w:r w:rsidR="00CD7FAE">
        <w:rPr>
          <w:rFonts w:cs="Arial"/>
        </w:rPr>
        <w:t xml:space="preserve">set forth in </w:t>
      </w:r>
      <w:r w:rsidR="00CD7FAE">
        <w:rPr>
          <w:rFonts w:cs="Arial"/>
          <w:i/>
        </w:rPr>
        <w:t>Watts</w:t>
      </w:r>
      <w:r w:rsidR="00CD7FAE">
        <w:rPr>
          <w:rFonts w:cs="Arial"/>
        </w:rPr>
        <w:t>—establishing what elements need to</w:t>
      </w:r>
      <w:r w:rsidR="00960DB0">
        <w:rPr>
          <w:rFonts w:cs="Arial"/>
        </w:rPr>
        <w:t xml:space="preserve"> be </w:t>
      </w:r>
      <w:r w:rsidR="00CD7FAE">
        <w:rPr>
          <w:rFonts w:cs="Arial"/>
        </w:rPr>
        <w:t>prove</w:t>
      </w:r>
      <w:r w:rsidR="00960DB0">
        <w:rPr>
          <w:rFonts w:cs="Arial"/>
        </w:rPr>
        <w:t xml:space="preserve">d </w:t>
      </w:r>
      <w:r w:rsidR="00CD7FAE">
        <w:rPr>
          <w:rFonts w:cs="Arial"/>
        </w:rPr>
        <w:t>to obtain such relief</w:t>
      </w:r>
      <w:r w:rsidR="00A51C53">
        <w:rPr>
          <w:rFonts w:cs="Arial"/>
        </w:rPr>
        <w:t>.  It is</w:t>
      </w:r>
      <w:r w:rsidR="003E15E8">
        <w:rPr>
          <w:rFonts w:cs="Arial"/>
        </w:rPr>
        <w:t xml:space="preserve"> quite straightforward</w:t>
      </w:r>
      <w:r w:rsidR="00CD7FAE">
        <w:rPr>
          <w:rFonts w:cs="Arial"/>
        </w:rPr>
        <w:t xml:space="preserve"> in this case</w:t>
      </w:r>
      <w:r w:rsidR="00960DB0">
        <w:rPr>
          <w:rFonts w:cs="Arial"/>
        </w:rPr>
        <w:t>.</w:t>
      </w:r>
      <w:r w:rsidR="00BF57CB">
        <w:rPr>
          <w:rFonts w:cs="Arial"/>
        </w:rPr>
        <w:t xml:space="preserve"> </w:t>
      </w:r>
      <w:r w:rsidR="00960DB0">
        <w:rPr>
          <w:rFonts w:cs="Arial"/>
        </w:rPr>
        <w:t xml:space="preserve"> </w:t>
      </w:r>
      <w:r w:rsidR="00002FDE">
        <w:rPr>
          <w:rFonts w:cs="Arial"/>
        </w:rPr>
        <w:t xml:space="preserve">Mohammad Hamed </w:t>
      </w:r>
      <w:r w:rsidR="00960DB0">
        <w:rPr>
          <w:rFonts w:cs="Arial"/>
        </w:rPr>
        <w:t xml:space="preserve">has </w:t>
      </w:r>
      <w:r w:rsidR="00002FDE">
        <w:rPr>
          <w:rFonts w:cs="Arial"/>
        </w:rPr>
        <w:t xml:space="preserve">averred facts </w:t>
      </w:r>
      <w:r w:rsidR="00FC0782">
        <w:rPr>
          <w:rFonts w:cs="Arial"/>
        </w:rPr>
        <w:t xml:space="preserve">demonstrating </w:t>
      </w:r>
      <w:r w:rsidR="00002FDE">
        <w:rPr>
          <w:rFonts w:cs="Arial"/>
        </w:rPr>
        <w:t>that</w:t>
      </w:r>
      <w:r w:rsidR="00CD7FAE">
        <w:rPr>
          <w:rFonts w:cs="Arial"/>
        </w:rPr>
        <w:t xml:space="preserve"> there </w:t>
      </w:r>
      <w:r w:rsidR="007C063F">
        <w:rPr>
          <w:rFonts w:cs="Arial"/>
        </w:rPr>
        <w:t xml:space="preserve">is </w:t>
      </w:r>
      <w:r w:rsidR="00CD7FAE">
        <w:rPr>
          <w:rFonts w:cs="Arial"/>
        </w:rPr>
        <w:t>a partnership between himself and Fathi Yusuf</w:t>
      </w:r>
      <w:r w:rsidR="007C063F">
        <w:rPr>
          <w:rFonts w:cs="Arial"/>
        </w:rPr>
        <w:t xml:space="preserve">, </w:t>
      </w:r>
      <w:r w:rsidR="00960DB0">
        <w:rPr>
          <w:rFonts w:cs="Arial"/>
        </w:rPr>
        <w:t xml:space="preserve">and is thus </w:t>
      </w:r>
      <w:r w:rsidR="007C063F">
        <w:rPr>
          <w:rFonts w:cs="Arial"/>
        </w:rPr>
        <w:t>entitled to pursue these statutory rights</w:t>
      </w:r>
      <w:r w:rsidR="00CD7FAE">
        <w:rPr>
          <w:rFonts w:cs="Arial"/>
        </w:rPr>
        <w:t>.</w:t>
      </w:r>
      <w:r w:rsidR="00BF57CB">
        <w:rPr>
          <w:rFonts w:cs="Arial"/>
        </w:rPr>
        <w:t xml:space="preserve"> </w:t>
      </w:r>
      <w:r w:rsidR="00CD7FAE">
        <w:rPr>
          <w:rFonts w:cs="Arial"/>
          <w:i/>
        </w:rPr>
        <w:t xml:space="preserve"> </w:t>
      </w:r>
      <w:r w:rsidR="003666E9">
        <w:rPr>
          <w:rFonts w:cs="Arial"/>
        </w:rPr>
        <w:t xml:space="preserve">Again, Title 26 </w:t>
      </w:r>
      <w:r w:rsidR="003E15E8">
        <w:rPr>
          <w:rFonts w:cs="Arial"/>
        </w:rPr>
        <w:t xml:space="preserve">makes this task </w:t>
      </w:r>
      <w:r>
        <w:rPr>
          <w:rFonts w:cs="Arial"/>
        </w:rPr>
        <w:t xml:space="preserve">clear, as it </w:t>
      </w:r>
      <w:r w:rsidR="003666E9">
        <w:rPr>
          <w:rFonts w:cs="Arial"/>
        </w:rPr>
        <w:t>provides in part as follows:</w:t>
      </w:r>
      <w:r w:rsidR="00DD207C" w:rsidRPr="00DD207C">
        <w:rPr>
          <w:rStyle w:val="FootnoteReference"/>
          <w:rFonts w:cs="Arial"/>
          <w:color w:val="000000" w:themeColor="text1"/>
        </w:rPr>
        <w:t xml:space="preserve"> </w:t>
      </w:r>
      <w:r w:rsidR="00DD207C">
        <w:rPr>
          <w:rStyle w:val="FootnoteReference"/>
          <w:rFonts w:cs="Arial"/>
          <w:color w:val="000000" w:themeColor="text1"/>
        </w:rPr>
        <w:footnoteReference w:id="2"/>
      </w:r>
    </w:p>
    <w:p w:rsidR="003666E9" w:rsidRDefault="003666E9" w:rsidP="003666E9">
      <w:pPr>
        <w:ind w:firstLine="720"/>
        <w:rPr>
          <w:rFonts w:cs="Arial"/>
          <w:b/>
        </w:rPr>
      </w:pPr>
      <w:r>
        <w:rPr>
          <w:rFonts w:cs="Arial"/>
          <w:b/>
        </w:rPr>
        <w:t xml:space="preserve">§ </w:t>
      </w:r>
      <w:r w:rsidR="00C75AAA">
        <w:rPr>
          <w:rFonts w:cs="Arial"/>
          <w:b/>
        </w:rPr>
        <w:t>22.  Rules for determining the existence of a partnership</w:t>
      </w:r>
    </w:p>
    <w:p w:rsidR="00C75AAA" w:rsidRPr="001B2784" w:rsidRDefault="00C75AAA" w:rsidP="003666E9">
      <w:pPr>
        <w:ind w:firstLine="720"/>
        <w:rPr>
          <w:rFonts w:cs="Arial"/>
          <w:b/>
        </w:rPr>
      </w:pPr>
    </w:p>
    <w:p w:rsidR="003E15E8" w:rsidRDefault="003E15E8" w:rsidP="003E15E8">
      <w:pPr>
        <w:ind w:left="720" w:right="720"/>
        <w:jc w:val="both"/>
        <w:rPr>
          <w:rFonts w:cs="Arial"/>
        </w:rPr>
      </w:pPr>
      <w:r>
        <w:rPr>
          <w:rFonts w:cs="Arial"/>
        </w:rPr>
        <w:t>In determining whether a partnership exists, these rules shall apply -</w:t>
      </w:r>
    </w:p>
    <w:p w:rsidR="003666E9" w:rsidRPr="001B2784" w:rsidRDefault="003666E9" w:rsidP="009A3083">
      <w:pPr>
        <w:ind w:firstLine="720"/>
        <w:jc w:val="center"/>
        <w:rPr>
          <w:rFonts w:cs="Arial"/>
        </w:rPr>
      </w:pPr>
      <w:r w:rsidRPr="001B2784">
        <w:rPr>
          <w:rFonts w:cs="Arial"/>
        </w:rPr>
        <w:t>…</w:t>
      </w:r>
    </w:p>
    <w:p w:rsidR="003E15E8" w:rsidRDefault="00C75AAA" w:rsidP="003E15E8">
      <w:pPr>
        <w:ind w:left="720" w:right="720"/>
        <w:jc w:val="both"/>
        <w:rPr>
          <w:rFonts w:cs="Arial"/>
        </w:rPr>
      </w:pPr>
      <w:r>
        <w:rPr>
          <w:rFonts w:cs="Arial"/>
        </w:rPr>
        <w:t xml:space="preserve">(4) </w:t>
      </w:r>
      <w:r w:rsidR="003E15E8">
        <w:rPr>
          <w:rFonts w:cs="Arial"/>
        </w:rPr>
        <w:t xml:space="preserve">The receipt by a person of a share of the profits of a business </w:t>
      </w:r>
      <w:r w:rsidR="003E15E8" w:rsidRPr="003E15E8">
        <w:rPr>
          <w:rFonts w:cs="Arial"/>
          <w:b/>
        </w:rPr>
        <w:t>is prima facie evidence</w:t>
      </w:r>
      <w:r w:rsidR="003E15E8">
        <w:rPr>
          <w:rFonts w:cs="Arial"/>
        </w:rPr>
        <w:t xml:space="preserve"> that he is a partner in the business.</w:t>
      </w:r>
      <w:r>
        <w:rPr>
          <w:rFonts w:cs="Arial"/>
        </w:rPr>
        <w:t xml:space="preserve"> . . .</w:t>
      </w:r>
      <w:r w:rsidR="003E15E8">
        <w:rPr>
          <w:rFonts w:cs="Arial"/>
        </w:rPr>
        <w:t xml:space="preserve"> (Emphasis added).</w:t>
      </w:r>
    </w:p>
    <w:p w:rsidR="0083585C" w:rsidRDefault="0083585C" w:rsidP="003E15E8">
      <w:pPr>
        <w:ind w:left="720" w:right="720"/>
        <w:jc w:val="both"/>
        <w:rPr>
          <w:rFonts w:cs="Arial"/>
        </w:rPr>
      </w:pPr>
    </w:p>
    <w:p w:rsidR="0083585C" w:rsidRDefault="00F91EC1" w:rsidP="0083585C">
      <w:pPr>
        <w:spacing w:line="480" w:lineRule="auto"/>
        <w:jc w:val="both"/>
        <w:rPr>
          <w:rFonts w:cs="Arial"/>
          <w:color w:val="000000" w:themeColor="text1"/>
        </w:rPr>
      </w:pPr>
      <w:r>
        <w:rPr>
          <w:rFonts w:cs="Arial"/>
          <w:color w:val="000000" w:themeColor="text1"/>
        </w:rPr>
        <w:t xml:space="preserve">In this case there is an </w:t>
      </w:r>
      <w:r w:rsidR="0083585C">
        <w:rPr>
          <w:rFonts w:cs="Arial"/>
          <w:color w:val="000000" w:themeColor="text1"/>
        </w:rPr>
        <w:t>outright admission</w:t>
      </w:r>
      <w:r w:rsidR="0083585C" w:rsidRPr="00F522D8">
        <w:rPr>
          <w:rFonts w:cs="Arial"/>
          <w:color w:val="000000" w:themeColor="text1"/>
        </w:rPr>
        <w:t xml:space="preserve"> made </w:t>
      </w:r>
      <w:r w:rsidR="0083585C">
        <w:rPr>
          <w:rFonts w:cs="Arial"/>
          <w:color w:val="000000" w:themeColor="text1"/>
        </w:rPr>
        <w:t xml:space="preserve">by defendants </w:t>
      </w:r>
      <w:r w:rsidR="0083585C" w:rsidRPr="00F522D8">
        <w:rPr>
          <w:rFonts w:cs="Arial"/>
          <w:color w:val="000000" w:themeColor="text1"/>
        </w:rPr>
        <w:t>that a</w:t>
      </w:r>
      <w:r w:rsidR="0083585C">
        <w:rPr>
          <w:rFonts w:cs="Arial"/>
          <w:color w:val="000000" w:themeColor="text1"/>
        </w:rPr>
        <w:t xml:space="preserve"> 50/50</w:t>
      </w:r>
      <w:r w:rsidR="0083585C" w:rsidRPr="00F522D8">
        <w:rPr>
          <w:rFonts w:cs="Arial"/>
          <w:color w:val="000000" w:themeColor="text1"/>
        </w:rPr>
        <w:t xml:space="preserve"> </w:t>
      </w:r>
      <w:r w:rsidR="00763130">
        <w:rPr>
          <w:rFonts w:cs="Arial"/>
          <w:color w:val="000000" w:themeColor="text1"/>
        </w:rPr>
        <w:t>“</w:t>
      </w:r>
      <w:r w:rsidR="0083585C" w:rsidRPr="00F522D8">
        <w:rPr>
          <w:rFonts w:cs="Arial"/>
          <w:color w:val="000000" w:themeColor="text1"/>
        </w:rPr>
        <w:t>share of the profits</w:t>
      </w:r>
      <w:r w:rsidR="00763130">
        <w:rPr>
          <w:rFonts w:cs="Arial"/>
          <w:color w:val="000000" w:themeColor="text1"/>
        </w:rPr>
        <w:t>”</w:t>
      </w:r>
      <w:r w:rsidR="00763130" w:rsidRPr="00F522D8">
        <w:rPr>
          <w:rFonts w:cs="Arial"/>
          <w:color w:val="000000" w:themeColor="text1"/>
        </w:rPr>
        <w:t xml:space="preserve"> </w:t>
      </w:r>
      <w:r w:rsidR="0083585C">
        <w:rPr>
          <w:rFonts w:cs="Arial"/>
          <w:color w:val="000000" w:themeColor="text1"/>
        </w:rPr>
        <w:t>was agreed to</w:t>
      </w:r>
      <w:r>
        <w:rPr>
          <w:rFonts w:cs="Arial"/>
          <w:color w:val="000000" w:themeColor="text1"/>
        </w:rPr>
        <w:t>, which profits</w:t>
      </w:r>
      <w:r w:rsidR="0083585C">
        <w:rPr>
          <w:rFonts w:cs="Arial"/>
          <w:color w:val="000000" w:themeColor="text1"/>
        </w:rPr>
        <w:t xml:space="preserve"> </w:t>
      </w:r>
      <w:r>
        <w:rPr>
          <w:rFonts w:cs="Arial"/>
          <w:color w:val="000000" w:themeColor="text1"/>
        </w:rPr>
        <w:t>have</w:t>
      </w:r>
      <w:r w:rsidR="0083585C" w:rsidRPr="00F522D8">
        <w:rPr>
          <w:rFonts w:cs="Arial"/>
          <w:color w:val="000000" w:themeColor="text1"/>
        </w:rPr>
        <w:t xml:space="preserve"> been </w:t>
      </w:r>
      <w:r w:rsidR="00FC0782">
        <w:rPr>
          <w:rFonts w:cs="Arial"/>
          <w:color w:val="000000" w:themeColor="text1"/>
        </w:rPr>
        <w:t xml:space="preserve">continuously due to and </w:t>
      </w:r>
      <w:r w:rsidR="0083585C" w:rsidRPr="00F522D8">
        <w:rPr>
          <w:rFonts w:cs="Arial"/>
          <w:color w:val="000000" w:themeColor="text1"/>
        </w:rPr>
        <w:t>received by plaintiff</w:t>
      </w:r>
      <w:r>
        <w:rPr>
          <w:rFonts w:cs="Arial"/>
          <w:color w:val="000000" w:themeColor="text1"/>
        </w:rPr>
        <w:t>.</w:t>
      </w:r>
      <w:r w:rsidR="006275FF">
        <w:rPr>
          <w:rFonts w:cs="Arial"/>
          <w:color w:val="000000" w:themeColor="text1"/>
        </w:rPr>
        <w:t xml:space="preserve"> </w:t>
      </w:r>
      <w:r>
        <w:rPr>
          <w:rFonts w:cs="Arial"/>
          <w:color w:val="000000" w:themeColor="text1"/>
        </w:rPr>
        <w:t xml:space="preserve"> Thus</w:t>
      </w:r>
      <w:r w:rsidR="001D26DF">
        <w:rPr>
          <w:rFonts w:cs="Arial"/>
          <w:color w:val="000000" w:themeColor="text1"/>
        </w:rPr>
        <w:t>,</w:t>
      </w:r>
      <w:r>
        <w:rPr>
          <w:rFonts w:cs="Arial"/>
          <w:color w:val="000000" w:themeColor="text1"/>
        </w:rPr>
        <w:t xml:space="preserve"> </w:t>
      </w:r>
      <w:r w:rsidR="0083585C" w:rsidRPr="00F522D8">
        <w:rPr>
          <w:rFonts w:cs="Arial"/>
          <w:color w:val="000000" w:themeColor="text1"/>
        </w:rPr>
        <w:t xml:space="preserve">there is </w:t>
      </w:r>
      <w:r w:rsidR="00763130">
        <w:rPr>
          <w:rFonts w:cs="Arial"/>
          <w:color w:val="000000" w:themeColor="text1"/>
        </w:rPr>
        <w:t>“</w:t>
      </w:r>
      <w:r w:rsidR="0083585C" w:rsidRPr="00F522D8">
        <w:rPr>
          <w:rFonts w:cs="Arial"/>
          <w:color w:val="000000" w:themeColor="text1"/>
        </w:rPr>
        <w:t>prima facie evidence</w:t>
      </w:r>
      <w:r w:rsidR="00763130">
        <w:rPr>
          <w:rFonts w:cs="Arial"/>
          <w:color w:val="000000" w:themeColor="text1"/>
        </w:rPr>
        <w:t>”</w:t>
      </w:r>
      <w:r w:rsidR="00763130" w:rsidRPr="00F522D8">
        <w:rPr>
          <w:rFonts w:cs="Arial"/>
          <w:color w:val="000000" w:themeColor="text1"/>
        </w:rPr>
        <w:t xml:space="preserve"> </w:t>
      </w:r>
      <w:r w:rsidR="0083585C" w:rsidRPr="00F522D8">
        <w:rPr>
          <w:rFonts w:cs="Arial"/>
          <w:color w:val="000000" w:themeColor="text1"/>
        </w:rPr>
        <w:t xml:space="preserve">that a partnership </w:t>
      </w:r>
      <w:r>
        <w:rPr>
          <w:rFonts w:cs="Arial"/>
          <w:color w:val="000000" w:themeColor="text1"/>
        </w:rPr>
        <w:t xml:space="preserve">exists </w:t>
      </w:r>
      <w:r w:rsidR="0083585C">
        <w:rPr>
          <w:rFonts w:cs="Arial"/>
          <w:color w:val="000000" w:themeColor="text1"/>
        </w:rPr>
        <w:t>(</w:t>
      </w:r>
      <w:r w:rsidR="0083585C" w:rsidRPr="00F522D8">
        <w:rPr>
          <w:rFonts w:cs="Arial"/>
          <w:color w:val="000000" w:themeColor="text1"/>
        </w:rPr>
        <w:t>as it is defined in this jurisdiction</w:t>
      </w:r>
      <w:r w:rsidR="0083585C">
        <w:rPr>
          <w:rFonts w:cs="Arial"/>
          <w:color w:val="000000" w:themeColor="text1"/>
        </w:rPr>
        <w:t>)</w:t>
      </w:r>
      <w:r w:rsidR="0083585C" w:rsidRPr="00F522D8">
        <w:rPr>
          <w:rFonts w:cs="Arial"/>
          <w:color w:val="000000" w:themeColor="text1"/>
        </w:rPr>
        <w:t xml:space="preserve"> </w:t>
      </w:r>
      <w:r>
        <w:rPr>
          <w:rFonts w:cs="Arial"/>
          <w:color w:val="000000" w:themeColor="text1"/>
        </w:rPr>
        <w:t xml:space="preserve">and has </w:t>
      </w:r>
      <w:r w:rsidR="0083585C" w:rsidRPr="00F522D8">
        <w:rPr>
          <w:rFonts w:cs="Arial"/>
          <w:color w:val="000000" w:themeColor="text1"/>
        </w:rPr>
        <w:t xml:space="preserve">been </w:t>
      </w:r>
      <w:r w:rsidR="006275FF">
        <w:rPr>
          <w:rFonts w:cs="Arial"/>
          <w:color w:val="000000" w:themeColor="text1"/>
        </w:rPr>
        <w:t>“</w:t>
      </w:r>
      <w:r w:rsidR="006275FF" w:rsidRPr="00F522D8">
        <w:rPr>
          <w:rFonts w:cs="Arial"/>
          <w:color w:val="000000" w:themeColor="text1"/>
        </w:rPr>
        <w:t>proved</w:t>
      </w:r>
      <w:r w:rsidR="006275FF">
        <w:rPr>
          <w:rFonts w:cs="Arial"/>
          <w:color w:val="000000" w:themeColor="text1"/>
        </w:rPr>
        <w:t>”</w:t>
      </w:r>
      <w:r w:rsidR="006275FF" w:rsidRPr="00F522D8">
        <w:rPr>
          <w:rFonts w:cs="Arial"/>
          <w:color w:val="000000" w:themeColor="text1"/>
        </w:rPr>
        <w:t xml:space="preserve"> </w:t>
      </w:r>
      <w:r w:rsidR="00FC0782">
        <w:rPr>
          <w:rFonts w:cs="Arial"/>
          <w:color w:val="000000" w:themeColor="text1"/>
        </w:rPr>
        <w:t xml:space="preserve">for the purpose of Rule 12 </w:t>
      </w:r>
      <w:r w:rsidR="0083585C" w:rsidRPr="00F522D8">
        <w:rPr>
          <w:rFonts w:cs="Arial"/>
          <w:color w:val="000000" w:themeColor="text1"/>
        </w:rPr>
        <w:t xml:space="preserve">by operation of </w:t>
      </w:r>
      <w:r>
        <w:rPr>
          <w:rFonts w:cs="Arial"/>
          <w:color w:val="000000" w:themeColor="text1"/>
        </w:rPr>
        <w:t>law under this UPA provision, codified in 26 V.I.C. §22,</w:t>
      </w:r>
      <w:r w:rsidR="0083585C" w:rsidRPr="00F522D8">
        <w:rPr>
          <w:rFonts w:cs="Arial"/>
          <w:color w:val="000000" w:themeColor="text1"/>
        </w:rPr>
        <w:t xml:space="preserve"> </w:t>
      </w:r>
      <w:r>
        <w:rPr>
          <w:rFonts w:cs="Arial"/>
          <w:color w:val="000000" w:themeColor="text1"/>
        </w:rPr>
        <w:t>by a</w:t>
      </w:r>
      <w:r w:rsidR="0083585C" w:rsidRPr="00F522D8">
        <w:rPr>
          <w:rFonts w:cs="Arial"/>
          <w:color w:val="000000" w:themeColor="text1"/>
        </w:rPr>
        <w:t xml:space="preserve"> preponderance of the evidence</w:t>
      </w:r>
      <w:r>
        <w:rPr>
          <w:rFonts w:cs="Arial"/>
          <w:color w:val="000000" w:themeColor="text1"/>
        </w:rPr>
        <w:t>.</w:t>
      </w:r>
      <w:r w:rsidR="006275FF">
        <w:rPr>
          <w:rFonts w:cs="Arial"/>
          <w:color w:val="000000" w:themeColor="text1"/>
        </w:rPr>
        <w:t xml:space="preserve"> </w:t>
      </w:r>
      <w:r w:rsidR="0083585C" w:rsidRPr="00F522D8">
        <w:rPr>
          <w:rFonts w:cs="Arial"/>
          <w:color w:val="000000" w:themeColor="text1"/>
        </w:rPr>
        <w:t xml:space="preserve"> </w:t>
      </w:r>
      <w:r w:rsidR="0083585C" w:rsidRPr="005875B0">
        <w:rPr>
          <w:rFonts w:cs="Arial"/>
          <w:i/>
          <w:color w:val="000000" w:themeColor="text1"/>
        </w:rPr>
        <w:t>See e.g.</w:t>
      </w:r>
      <w:r w:rsidR="0083585C" w:rsidRPr="00DE4C80">
        <w:rPr>
          <w:rFonts w:cs="Arial"/>
          <w:color w:val="000000" w:themeColor="text1"/>
        </w:rPr>
        <w:t xml:space="preserve"> </w:t>
      </w:r>
      <w:r w:rsidR="0083585C" w:rsidRPr="005875B0">
        <w:rPr>
          <w:rFonts w:cs="Arial"/>
          <w:i/>
        </w:rPr>
        <w:t>DeMarchis v. D</w:t>
      </w:r>
      <w:r w:rsidR="005B295E">
        <w:rPr>
          <w:rFonts w:cs="Arial"/>
          <w:i/>
        </w:rPr>
        <w:t>’</w:t>
      </w:r>
      <w:r w:rsidR="0083585C" w:rsidRPr="005875B0">
        <w:rPr>
          <w:rFonts w:cs="Arial"/>
          <w:i/>
        </w:rPr>
        <w:t>Amico</w:t>
      </w:r>
      <w:r w:rsidR="0083585C" w:rsidRPr="005875B0">
        <w:rPr>
          <w:rFonts w:cs="Arial"/>
        </w:rPr>
        <w:t>,</w:t>
      </w:r>
      <w:r>
        <w:rPr>
          <w:rFonts w:cs="Arial"/>
        </w:rPr>
        <w:t xml:space="preserve"> </w:t>
      </w:r>
      <w:r w:rsidR="0083585C" w:rsidRPr="005875B0">
        <w:rPr>
          <w:rFonts w:cs="Arial"/>
        </w:rPr>
        <w:t>637 A.2d 1029, 1034 (Pa.</w:t>
      </w:r>
      <w:r w:rsidR="00BE3BCE">
        <w:rPr>
          <w:rFonts w:cs="Arial"/>
        </w:rPr>
        <w:t xml:space="preserve"> </w:t>
      </w:r>
      <w:r w:rsidR="0083585C" w:rsidRPr="005875B0">
        <w:rPr>
          <w:rFonts w:cs="Arial"/>
        </w:rPr>
        <w:t>Super.</w:t>
      </w:r>
      <w:r w:rsidR="0083585C">
        <w:rPr>
          <w:rFonts w:cs="Arial"/>
        </w:rPr>
        <w:t xml:space="preserve"> </w:t>
      </w:r>
      <w:r w:rsidR="0083585C" w:rsidRPr="005875B0">
        <w:rPr>
          <w:rFonts w:cs="Arial"/>
        </w:rPr>
        <w:t>1994)</w:t>
      </w:r>
      <w:r w:rsidR="0083585C">
        <w:rPr>
          <w:rFonts w:cs="Arial"/>
        </w:rPr>
        <w:t xml:space="preserve"> (</w:t>
      </w:r>
      <w:r>
        <w:rPr>
          <w:rFonts w:cs="Arial"/>
        </w:rPr>
        <w:t xml:space="preserve">interpreting this </w:t>
      </w:r>
      <w:r w:rsidR="0083585C">
        <w:rPr>
          <w:rFonts w:cs="Arial"/>
        </w:rPr>
        <w:t>same UPA provision)</w:t>
      </w:r>
      <w:r w:rsidR="00F06774">
        <w:rPr>
          <w:rFonts w:cs="Arial"/>
        </w:rPr>
        <w:t>:</w:t>
      </w:r>
    </w:p>
    <w:p w:rsidR="0083585C" w:rsidRPr="005875B0" w:rsidRDefault="0083585C" w:rsidP="00EC16E7">
      <w:pPr>
        <w:ind w:left="720"/>
        <w:jc w:val="both"/>
        <w:rPr>
          <w:rFonts w:cs="Arial"/>
          <w:b/>
          <w:szCs w:val="19"/>
        </w:rPr>
      </w:pPr>
      <w:bookmarkStart w:id="0" w:name="SR;3467"/>
      <w:bookmarkStart w:id="1" w:name="sp_659_162"/>
      <w:bookmarkStart w:id="2" w:name="SDU_162"/>
      <w:bookmarkEnd w:id="0"/>
      <w:bookmarkEnd w:id="1"/>
      <w:bookmarkEnd w:id="2"/>
      <w:r w:rsidRPr="005875B0">
        <w:rPr>
          <w:rFonts w:cs="Arial"/>
          <w:szCs w:val="19"/>
        </w:rPr>
        <w:t>In determining whether a partnership exists</w:t>
      </w:r>
      <w:r>
        <w:rPr>
          <w:rFonts w:cs="Arial"/>
          <w:szCs w:val="19"/>
        </w:rPr>
        <w:t xml:space="preserve"> [this section] </w:t>
      </w:r>
      <w:r w:rsidRPr="005875B0">
        <w:rPr>
          <w:rFonts w:cs="Arial"/>
          <w:szCs w:val="19"/>
        </w:rPr>
        <w:t xml:space="preserve">provides that </w:t>
      </w:r>
      <w:r w:rsidR="000549FD">
        <w:rPr>
          <w:rFonts w:cs="Arial"/>
          <w:szCs w:val="19"/>
        </w:rPr>
        <w:t>‘</w:t>
      </w:r>
      <w:r w:rsidRPr="005875B0">
        <w:rPr>
          <w:rFonts w:cs="Arial"/>
          <w:szCs w:val="19"/>
        </w:rPr>
        <w:t xml:space="preserve">[t]he receipt by a person of a share of the profits of a business is </w:t>
      </w:r>
      <w:bookmarkStart w:id="3" w:name="SR;3606"/>
      <w:bookmarkEnd w:id="3"/>
      <w:r w:rsidRPr="005875B0">
        <w:rPr>
          <w:rFonts w:cs="Arial"/>
          <w:i/>
          <w:iCs/>
          <w:szCs w:val="19"/>
        </w:rPr>
        <w:t xml:space="preserve">prima </w:t>
      </w:r>
      <w:bookmarkStart w:id="4" w:name="SR;3607"/>
      <w:bookmarkEnd w:id="4"/>
      <w:r w:rsidRPr="005875B0">
        <w:rPr>
          <w:rFonts w:cs="Arial"/>
          <w:i/>
          <w:iCs/>
          <w:szCs w:val="19"/>
        </w:rPr>
        <w:t>facie</w:t>
      </w:r>
      <w:r w:rsidRPr="005875B0">
        <w:rPr>
          <w:rFonts w:cs="Arial"/>
          <w:szCs w:val="19"/>
        </w:rPr>
        <w:t xml:space="preserve"> evidence that he is a partner in the business ...</w:t>
      </w:r>
      <w:proofErr w:type="gramStart"/>
      <w:r w:rsidR="000549FD">
        <w:rPr>
          <w:rFonts w:cs="Arial"/>
          <w:szCs w:val="19"/>
        </w:rPr>
        <w:t xml:space="preserve">’ </w:t>
      </w:r>
      <w:r w:rsidRPr="005875B0">
        <w:rPr>
          <w:rFonts w:cs="Arial"/>
          <w:szCs w:val="19"/>
        </w:rPr>
        <w:t xml:space="preserve"> In</w:t>
      </w:r>
      <w:proofErr w:type="gramEnd"/>
      <w:r w:rsidRPr="005875B0">
        <w:rPr>
          <w:rFonts w:cs="Arial"/>
          <w:szCs w:val="19"/>
        </w:rPr>
        <w:t xml:space="preserve"> the instant case, the trial court found that $40,000.00 was withdrawn from an investment account containing proceeds of the business and appellants received $20,000.00 of that money.</w:t>
      </w:r>
      <w:r w:rsidR="000549FD">
        <w:rPr>
          <w:rFonts w:cs="Arial"/>
          <w:szCs w:val="19"/>
        </w:rPr>
        <w:t xml:space="preserve"> </w:t>
      </w:r>
      <w:r w:rsidRPr="005875B0">
        <w:rPr>
          <w:rFonts w:cs="Arial"/>
          <w:b/>
          <w:szCs w:val="19"/>
        </w:rPr>
        <w:t xml:space="preserve"> The trial court was </w:t>
      </w:r>
      <w:r w:rsidRPr="005875B0">
        <w:rPr>
          <w:rFonts w:cs="Arial"/>
          <w:b/>
          <w:szCs w:val="19"/>
        </w:rPr>
        <w:lastRenderedPageBreak/>
        <w:t xml:space="preserve">required to view this fact as </w:t>
      </w:r>
      <w:bookmarkStart w:id="5" w:name="SR;3658"/>
      <w:bookmarkEnd w:id="5"/>
      <w:r w:rsidRPr="005875B0">
        <w:rPr>
          <w:rFonts w:cs="Arial"/>
          <w:b/>
          <w:i/>
          <w:iCs/>
          <w:szCs w:val="19"/>
        </w:rPr>
        <w:t xml:space="preserve">prima </w:t>
      </w:r>
      <w:bookmarkStart w:id="6" w:name="SR;3659"/>
      <w:bookmarkEnd w:id="6"/>
      <w:r w:rsidRPr="005875B0">
        <w:rPr>
          <w:rFonts w:cs="Arial"/>
          <w:b/>
          <w:i/>
          <w:iCs/>
          <w:szCs w:val="19"/>
        </w:rPr>
        <w:t>facie</w:t>
      </w:r>
      <w:r w:rsidRPr="005875B0">
        <w:rPr>
          <w:rFonts w:cs="Arial"/>
          <w:b/>
          <w:szCs w:val="19"/>
        </w:rPr>
        <w:t xml:space="preserve"> evidence that a partnership existed between appellants and appellees for the operation of the automotive repair business, which if unrebutted, would remain sufficient to establish the existence of a partnership.</w:t>
      </w:r>
      <w:r w:rsidR="000549FD">
        <w:rPr>
          <w:rFonts w:cs="Arial"/>
          <w:b/>
          <w:szCs w:val="19"/>
        </w:rPr>
        <w:t xml:space="preserve"> </w:t>
      </w:r>
      <w:r w:rsidRPr="005875B0">
        <w:rPr>
          <w:rFonts w:cs="Arial"/>
          <w:szCs w:val="19"/>
        </w:rPr>
        <w:t xml:space="preserve"> Once the evidence of a profit distribution was introduced, </w:t>
      </w:r>
      <w:r w:rsidRPr="005875B0">
        <w:rPr>
          <w:rFonts w:cs="Arial"/>
          <w:b/>
          <w:szCs w:val="19"/>
        </w:rPr>
        <w:t xml:space="preserve">the </w:t>
      </w:r>
      <w:bookmarkStart w:id="7" w:name="SR;3701"/>
      <w:bookmarkEnd w:id="7"/>
      <w:r w:rsidRPr="005875B0">
        <w:rPr>
          <w:rFonts w:cs="Arial"/>
          <w:b/>
          <w:szCs w:val="19"/>
        </w:rPr>
        <w:t xml:space="preserve">burden of proof </w:t>
      </w:r>
      <w:r w:rsidRPr="005875B0">
        <w:rPr>
          <w:rFonts w:cs="Arial"/>
          <w:b/>
          <w:i/>
          <w:iCs/>
          <w:szCs w:val="19"/>
        </w:rPr>
        <w:t>shifted</w:t>
      </w:r>
      <w:r w:rsidRPr="005875B0">
        <w:rPr>
          <w:rFonts w:cs="Arial"/>
          <w:b/>
          <w:szCs w:val="19"/>
        </w:rPr>
        <w:t xml:space="preserve"> to appellees, as the party denying the </w:t>
      </w:r>
      <w:r w:rsidR="005B295E" w:rsidRPr="005875B0">
        <w:rPr>
          <w:rFonts w:cs="Arial"/>
          <w:b/>
          <w:szCs w:val="19"/>
        </w:rPr>
        <w:t>partnership</w:t>
      </w:r>
      <w:r w:rsidR="005B295E">
        <w:rPr>
          <w:rFonts w:cs="Arial"/>
          <w:b/>
          <w:szCs w:val="19"/>
        </w:rPr>
        <w:t>’</w:t>
      </w:r>
      <w:r w:rsidR="005B295E" w:rsidRPr="005875B0">
        <w:rPr>
          <w:rFonts w:cs="Arial"/>
          <w:b/>
          <w:szCs w:val="19"/>
        </w:rPr>
        <w:t xml:space="preserve">s </w:t>
      </w:r>
      <w:r w:rsidRPr="005875B0">
        <w:rPr>
          <w:rFonts w:cs="Arial"/>
          <w:b/>
          <w:szCs w:val="19"/>
        </w:rPr>
        <w:t xml:space="preserve">existence, to show that the payment was </w:t>
      </w:r>
      <w:r w:rsidRPr="005875B0">
        <w:rPr>
          <w:rFonts w:cs="Arial"/>
          <w:b/>
          <w:i/>
          <w:iCs/>
          <w:szCs w:val="19"/>
        </w:rPr>
        <w:t>not</w:t>
      </w:r>
      <w:r w:rsidRPr="005875B0">
        <w:rPr>
          <w:rFonts w:cs="Arial"/>
          <w:b/>
          <w:szCs w:val="19"/>
        </w:rPr>
        <w:t xml:space="preserve"> a profit distribution, or that a partnership did not exist.</w:t>
      </w:r>
      <w:r w:rsidR="00FC0782">
        <w:rPr>
          <w:rFonts w:cs="Arial"/>
          <w:b/>
          <w:szCs w:val="19"/>
        </w:rPr>
        <w:t xml:space="preserve"> </w:t>
      </w:r>
      <w:r w:rsidR="00FC0782" w:rsidRPr="00D17FB8">
        <w:rPr>
          <w:rFonts w:cs="Arial"/>
          <w:szCs w:val="19"/>
        </w:rPr>
        <w:t>(Emphasis added.)</w:t>
      </w:r>
    </w:p>
    <w:p w:rsidR="003666E9" w:rsidRDefault="003666E9" w:rsidP="003666E9">
      <w:pPr>
        <w:ind w:left="1440"/>
        <w:rPr>
          <w:rFonts w:cs="Arial"/>
        </w:rPr>
      </w:pPr>
    </w:p>
    <w:p w:rsidR="00F06774" w:rsidRDefault="00F06774" w:rsidP="00EC16E7">
      <w:pPr>
        <w:spacing w:line="480" w:lineRule="auto"/>
        <w:jc w:val="both"/>
        <w:rPr>
          <w:rFonts w:cs="Arial"/>
        </w:rPr>
      </w:pPr>
      <w:r>
        <w:rPr>
          <w:rFonts w:cs="Arial"/>
        </w:rPr>
        <w:t xml:space="preserve">Clearly the first prong under </w:t>
      </w:r>
      <w:r>
        <w:rPr>
          <w:rFonts w:cs="Arial"/>
          <w:i/>
        </w:rPr>
        <w:t xml:space="preserve">Watts </w:t>
      </w:r>
      <w:r w:rsidR="00A27861">
        <w:rPr>
          <w:rFonts w:cs="Arial"/>
        </w:rPr>
        <w:t xml:space="preserve">is met </w:t>
      </w:r>
      <w:r w:rsidR="00CA7DEC">
        <w:rPr>
          <w:rFonts w:cs="Arial"/>
        </w:rPr>
        <w:t xml:space="preserve">with regard to a Rule 12 motion by </w:t>
      </w:r>
      <w:r w:rsidR="00E9311E">
        <w:rPr>
          <w:rFonts w:cs="Arial"/>
        </w:rPr>
        <w:t xml:space="preserve">defendants’ </w:t>
      </w:r>
      <w:r w:rsidR="00CA7DEC">
        <w:rPr>
          <w:rFonts w:cs="Arial"/>
        </w:rPr>
        <w:t xml:space="preserve">admission of </w:t>
      </w:r>
      <w:r w:rsidR="00FC0782">
        <w:rPr>
          <w:rFonts w:cs="Arial"/>
        </w:rPr>
        <w:t xml:space="preserve">an agreement regarding </w:t>
      </w:r>
      <w:r w:rsidR="00CA7DEC">
        <w:rPr>
          <w:rFonts w:cs="Arial"/>
        </w:rPr>
        <w:t>t</w:t>
      </w:r>
      <w:r>
        <w:rPr>
          <w:rFonts w:cs="Arial"/>
        </w:rPr>
        <w:t>he sharing of profits</w:t>
      </w:r>
      <w:r w:rsidR="00FC0782">
        <w:rPr>
          <w:rFonts w:cs="Arial"/>
        </w:rPr>
        <w:t>.</w:t>
      </w:r>
    </w:p>
    <w:p w:rsidR="003666E9" w:rsidRDefault="00960DB0" w:rsidP="00E72EC4">
      <w:pPr>
        <w:spacing w:line="480" w:lineRule="auto"/>
        <w:ind w:firstLine="720"/>
        <w:jc w:val="both"/>
        <w:rPr>
          <w:rFonts w:cs="Arial"/>
        </w:rPr>
      </w:pPr>
      <w:r>
        <w:rPr>
          <w:rFonts w:cs="Arial"/>
        </w:rPr>
        <w:t>T</w:t>
      </w:r>
      <w:r w:rsidR="00BB7935">
        <w:rPr>
          <w:rFonts w:cs="Arial"/>
        </w:rPr>
        <w:t xml:space="preserve">he second and third prongs under </w:t>
      </w:r>
      <w:r w:rsidR="00BB7935">
        <w:rPr>
          <w:rFonts w:cs="Arial"/>
          <w:i/>
        </w:rPr>
        <w:t xml:space="preserve">Watts </w:t>
      </w:r>
      <w:r w:rsidR="00BB7935">
        <w:rPr>
          <w:rFonts w:cs="Arial"/>
        </w:rPr>
        <w:t xml:space="preserve">are to delete “conclusory allegations” and then to look at the remaining “well pleaded facts” to see if the amended complaint has sufficiently pled facts that would support the relief sought. </w:t>
      </w:r>
      <w:r w:rsidR="00E85E4C">
        <w:rPr>
          <w:rFonts w:cs="Arial"/>
        </w:rPr>
        <w:t xml:space="preserve"> </w:t>
      </w:r>
      <w:r w:rsidR="00BB7935">
        <w:rPr>
          <w:rFonts w:cs="Arial"/>
        </w:rPr>
        <w:t xml:space="preserve">In this regard, </w:t>
      </w:r>
      <w:r w:rsidR="003666E9">
        <w:rPr>
          <w:rFonts w:cs="Arial"/>
        </w:rPr>
        <w:t>it is respectfully submitted that the following allegations</w:t>
      </w:r>
      <w:r w:rsidR="002D03CA">
        <w:rPr>
          <w:rFonts w:cs="Arial"/>
        </w:rPr>
        <w:t xml:space="preserve"> </w:t>
      </w:r>
      <w:r w:rsidR="00DA3B23">
        <w:rPr>
          <w:rFonts w:cs="Arial"/>
        </w:rPr>
        <w:t xml:space="preserve">in the amended complaint certainly meet that requirement, which alleged </w:t>
      </w:r>
      <w:r w:rsidR="002D03CA">
        <w:rPr>
          <w:rFonts w:cs="Arial"/>
        </w:rPr>
        <w:t>in part</w:t>
      </w:r>
      <w:r w:rsidR="00C430A2">
        <w:rPr>
          <w:rFonts w:cs="Arial"/>
        </w:rPr>
        <w:t xml:space="preserve"> (DE-15)</w:t>
      </w:r>
      <w:r w:rsidR="003666E9">
        <w:rPr>
          <w:rFonts w:cs="Arial"/>
        </w:rPr>
        <w:t>:</w:t>
      </w:r>
    </w:p>
    <w:p w:rsidR="004A73FD" w:rsidRDefault="007E1BB1" w:rsidP="00EC16E7">
      <w:pPr>
        <w:pStyle w:val="ListParagraph"/>
        <w:numPr>
          <w:ilvl w:val="0"/>
          <w:numId w:val="10"/>
        </w:numPr>
        <w:autoSpaceDE w:val="0"/>
        <w:autoSpaceDN w:val="0"/>
        <w:adjustRightInd w:val="0"/>
        <w:spacing w:after="240"/>
        <w:jc w:val="both"/>
        <w:rPr>
          <w:rFonts w:cs="Arial"/>
        </w:rPr>
      </w:pPr>
      <w:r w:rsidRPr="0047226C">
        <w:rPr>
          <w:rFonts w:cs="Arial"/>
        </w:rPr>
        <w:t>In the 1970’s, Mohammad Hamed opened and operated a successful grocery business on St. Croix.</w:t>
      </w:r>
    </w:p>
    <w:p w:rsidR="004A73FD" w:rsidRPr="00EC16E7" w:rsidRDefault="004A73FD" w:rsidP="00EC16E7">
      <w:pPr>
        <w:pStyle w:val="ListParagraph"/>
        <w:autoSpaceDE w:val="0"/>
        <w:autoSpaceDN w:val="0"/>
        <w:adjustRightInd w:val="0"/>
        <w:spacing w:after="240"/>
        <w:jc w:val="both"/>
        <w:rPr>
          <w:rFonts w:cs="Arial"/>
          <w:sz w:val="16"/>
          <w:szCs w:val="16"/>
        </w:rPr>
      </w:pPr>
    </w:p>
    <w:p w:rsidR="007E1BB1" w:rsidRDefault="007E1BB1" w:rsidP="00EC16E7">
      <w:pPr>
        <w:pStyle w:val="ListParagraph"/>
        <w:numPr>
          <w:ilvl w:val="0"/>
          <w:numId w:val="10"/>
        </w:numPr>
        <w:autoSpaceDE w:val="0"/>
        <w:autoSpaceDN w:val="0"/>
        <w:adjustRightInd w:val="0"/>
        <w:spacing w:after="120"/>
        <w:jc w:val="both"/>
        <w:rPr>
          <w:rFonts w:cs="Arial"/>
        </w:rPr>
      </w:pPr>
      <w:r w:rsidRPr="0047226C">
        <w:rPr>
          <w:rFonts w:cs="Arial"/>
        </w:rPr>
        <w:t>In the early 1980’s, Yusuf began to build a shopping center at Sion Farm, St. Croix, which he hoped would include a supermarket, even though he had never operated a grocery business before.</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During the construction of that shopping center, Yusuf continually ran out of money and was unable to get any loans from any banks. </w:t>
      </w:r>
      <w:r w:rsidR="009A5934">
        <w:rPr>
          <w:rFonts w:cs="Arial"/>
        </w:rPr>
        <w:t xml:space="preserve"> </w:t>
      </w:r>
      <w:r>
        <w:rPr>
          <w:rFonts w:cs="Arial"/>
        </w:rPr>
        <w:t>As such, he sought help from Mohammed Hamed, which Mohammed Hamed agreed to provide.</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Mohammad Hamed provided funds to complete the construction of the shopping center. </w:t>
      </w:r>
      <w:r w:rsidR="009A5934">
        <w:rPr>
          <w:rFonts w:cs="Arial"/>
        </w:rPr>
        <w:t xml:space="preserve"> </w:t>
      </w:r>
      <w:r>
        <w:rPr>
          <w:rFonts w:cs="Arial"/>
        </w:rPr>
        <w:t>In addition, when more funds were needed to create and open the supermarket, Mohammad Hamed sold his grocery store and contributed all of his life savings to the supermarket project in addition to the funds previously provided for the shopping center construction, devoting his full time and energy to getting the supermarket open as well.</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During this time period, Mohammad Hamed </w:t>
      </w:r>
      <w:r w:rsidRPr="006B009A">
        <w:rPr>
          <w:rFonts w:cs="Arial"/>
        </w:rPr>
        <w:t xml:space="preserve">and Yusuf </w:t>
      </w:r>
      <w:r>
        <w:rPr>
          <w:rFonts w:cs="Arial"/>
        </w:rPr>
        <w:t xml:space="preserve">agreed to </w:t>
      </w:r>
      <w:r w:rsidRPr="006B009A">
        <w:rPr>
          <w:rFonts w:cs="Arial"/>
        </w:rPr>
        <w:t xml:space="preserve">enter into a 50/50 partnership </w:t>
      </w:r>
      <w:r>
        <w:rPr>
          <w:rFonts w:cs="Arial"/>
        </w:rPr>
        <w:t xml:space="preserve">(hereinafter referred to as the </w:t>
      </w:r>
      <w:r w:rsidR="00A96F2A">
        <w:rPr>
          <w:rFonts w:cs="Arial"/>
        </w:rPr>
        <w:t>“</w:t>
      </w:r>
      <w:r>
        <w:rPr>
          <w:rFonts w:cs="Arial"/>
        </w:rPr>
        <w:t>Partnership</w:t>
      </w:r>
      <w:r w:rsidR="00A96F2A">
        <w:rPr>
          <w:rFonts w:cs="Arial"/>
        </w:rPr>
        <w:t>”</w:t>
      </w:r>
      <w:r>
        <w:rPr>
          <w:rFonts w:cs="Arial"/>
        </w:rPr>
        <w:t xml:space="preserve">) </w:t>
      </w:r>
      <w:r w:rsidRPr="006B009A">
        <w:rPr>
          <w:rFonts w:cs="Arial"/>
        </w:rPr>
        <w:t xml:space="preserve">to create, fund and operate </w:t>
      </w:r>
      <w:r>
        <w:rPr>
          <w:rFonts w:cs="Arial"/>
        </w:rPr>
        <w:t xml:space="preserve">this new </w:t>
      </w:r>
      <w:r w:rsidRPr="006B009A">
        <w:rPr>
          <w:rFonts w:cs="Arial"/>
        </w:rPr>
        <w:t>grocery supermarket</w:t>
      </w:r>
      <w:r>
        <w:rPr>
          <w:rFonts w:cs="Arial"/>
        </w:rPr>
        <w:t xml:space="preserve"> business, which they </w:t>
      </w:r>
      <w:r w:rsidRPr="00DF074F">
        <w:rPr>
          <w:rFonts w:cs="Arial"/>
        </w:rPr>
        <w:t>named Plaza Extra</w:t>
      </w:r>
      <w:r>
        <w:rPr>
          <w:rFonts w:cs="Arial"/>
        </w:rPr>
        <w:t xml:space="preserve"> Supermarket. </w:t>
      </w:r>
      <w:r w:rsidR="009A5934">
        <w:rPr>
          <w:rFonts w:cs="Arial"/>
        </w:rPr>
        <w:t xml:space="preserve"> </w:t>
      </w:r>
      <w:r>
        <w:rPr>
          <w:rFonts w:cs="Arial"/>
        </w:rPr>
        <w:t xml:space="preserve">It was </w:t>
      </w:r>
      <w:r w:rsidRPr="00DB6C93">
        <w:rPr>
          <w:rFonts w:cs="Arial"/>
        </w:rPr>
        <w:t>located in</w:t>
      </w:r>
      <w:r>
        <w:rPr>
          <w:rFonts w:cs="Arial"/>
        </w:rPr>
        <w:t xml:space="preserve"> the</w:t>
      </w:r>
      <w:r w:rsidRPr="005E6920">
        <w:rPr>
          <w:rFonts w:cs="Arial"/>
        </w:rPr>
        <w:t xml:space="preserve"> shopping center</w:t>
      </w:r>
      <w:r>
        <w:rPr>
          <w:rFonts w:cs="Arial"/>
        </w:rPr>
        <w:t>.</w:t>
      </w:r>
      <w:r w:rsidRPr="009931D6">
        <w:rPr>
          <w:rFonts w:cs="Arial"/>
        </w:rPr>
        <w:t xml:space="preserve"> </w:t>
      </w:r>
    </w:p>
    <w:p w:rsidR="007E1BB1" w:rsidRPr="0069264E" w:rsidRDefault="007E1BB1" w:rsidP="00EC16E7">
      <w:pPr>
        <w:numPr>
          <w:ilvl w:val="0"/>
          <w:numId w:val="10"/>
        </w:numPr>
        <w:autoSpaceDE w:val="0"/>
        <w:autoSpaceDN w:val="0"/>
        <w:adjustRightInd w:val="0"/>
        <w:spacing w:after="120"/>
        <w:jc w:val="both"/>
        <w:rPr>
          <w:rFonts w:cs="Arial"/>
        </w:rPr>
      </w:pPr>
      <w:r>
        <w:rPr>
          <w:rFonts w:cs="Arial"/>
        </w:rPr>
        <w:t>As b</w:t>
      </w:r>
      <w:r w:rsidRPr="001464AB">
        <w:rPr>
          <w:rFonts w:cs="Arial"/>
        </w:rPr>
        <w:t xml:space="preserve">oth </w:t>
      </w:r>
      <w:r>
        <w:rPr>
          <w:rFonts w:cs="Arial"/>
        </w:rPr>
        <w:t xml:space="preserve">Mohammed Hamed and Yusuf agreed to contribute their time and their personal funds to create this Partnership, both </w:t>
      </w:r>
      <w:r w:rsidRPr="001464AB">
        <w:rPr>
          <w:rFonts w:cs="Arial"/>
        </w:rPr>
        <w:t xml:space="preserve">risked the loss of their </w:t>
      </w:r>
      <w:r w:rsidRPr="00AB78D6">
        <w:rPr>
          <w:rFonts w:cs="Arial"/>
        </w:rPr>
        <w:t xml:space="preserve">significant </w:t>
      </w:r>
      <w:r w:rsidRPr="00D53E6C">
        <w:rPr>
          <w:rFonts w:cs="Arial"/>
        </w:rPr>
        <w:t>initial investments</w:t>
      </w:r>
      <w:r>
        <w:rPr>
          <w:rFonts w:cs="Arial"/>
        </w:rPr>
        <w:t xml:space="preserve">. </w:t>
      </w:r>
      <w:r w:rsidR="009A5934">
        <w:rPr>
          <w:rFonts w:cs="Arial"/>
        </w:rPr>
        <w:t xml:space="preserve"> </w:t>
      </w:r>
      <w:r>
        <w:rPr>
          <w:rFonts w:cs="Arial"/>
        </w:rPr>
        <w:t>Moreover,</w:t>
      </w:r>
      <w:r w:rsidRPr="00D53E6C">
        <w:rPr>
          <w:rFonts w:cs="Arial"/>
        </w:rPr>
        <w:t xml:space="preserve"> </w:t>
      </w:r>
      <w:r>
        <w:rPr>
          <w:rFonts w:cs="Arial"/>
        </w:rPr>
        <w:t xml:space="preserve">they both agreed that going forward each partner was </w:t>
      </w:r>
      <w:r w:rsidRPr="00D53E6C">
        <w:rPr>
          <w:rFonts w:cs="Arial"/>
        </w:rPr>
        <w:t>responsible for 50% of all losses</w:t>
      </w:r>
      <w:r>
        <w:rPr>
          <w:rFonts w:cs="Arial"/>
        </w:rPr>
        <w:t xml:space="preserve">, and was entitled to 50% of all profits from the supermarket </w:t>
      </w:r>
      <w:r w:rsidR="009A5934">
        <w:rPr>
          <w:rFonts w:cs="Arial"/>
        </w:rPr>
        <w:t xml:space="preserve">business’ </w:t>
      </w:r>
      <w:r>
        <w:rPr>
          <w:rFonts w:cs="Arial"/>
        </w:rPr>
        <w:t>operations</w:t>
      </w:r>
      <w:r w:rsidRPr="00D53E6C">
        <w:rPr>
          <w:rFonts w:cs="Arial"/>
        </w:rPr>
        <w:t>.</w:t>
      </w:r>
      <w:r w:rsidR="009A5934">
        <w:rPr>
          <w:rFonts w:cs="Arial"/>
        </w:rPr>
        <w:t xml:space="preserve"> </w:t>
      </w:r>
      <w:r>
        <w:rPr>
          <w:rFonts w:cs="Arial"/>
        </w:rPr>
        <w:t xml:space="preserve"> Indeed, defendants have admitted that the </w:t>
      </w:r>
      <w:r>
        <w:rPr>
          <w:rFonts w:cs="Arial"/>
        </w:rPr>
        <w:lastRenderedPageBreak/>
        <w:t>profits of the grocery business were shared with plaintiff -- in pleadings filed in this case.</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When the supermarket at Sion Farm opened in 1986, Mohammad Hamed used his experience and contacts in the grocery business to get the store stocked and open successfully. </w:t>
      </w:r>
    </w:p>
    <w:p w:rsidR="007E1BB1" w:rsidRDefault="007E1BB1" w:rsidP="00EC16E7">
      <w:pPr>
        <w:numPr>
          <w:ilvl w:val="0"/>
          <w:numId w:val="10"/>
        </w:numPr>
        <w:autoSpaceDE w:val="0"/>
        <w:autoSpaceDN w:val="0"/>
        <w:adjustRightInd w:val="0"/>
        <w:spacing w:after="120"/>
        <w:jc w:val="both"/>
        <w:rPr>
          <w:rFonts w:cs="Arial"/>
        </w:rPr>
      </w:pPr>
      <w:r>
        <w:rPr>
          <w:rFonts w:cs="Arial"/>
        </w:rPr>
        <w:t>The Partnership between Hamed and Yusuf subsequently expanded to two other supermarket locations, one in the west end of St. Croix (both built and initially stocked from the profits of the Partnership) and one in St. Thomas (also both built and initially stocked from the profits of the Partnership).  Both of these supermarkets were also operated under the name Plaza Extra.</w:t>
      </w:r>
      <w:r w:rsidR="009A5934">
        <w:rPr>
          <w:rFonts w:cs="Arial"/>
        </w:rPr>
        <w:t xml:space="preserve"> </w:t>
      </w:r>
      <w:r>
        <w:rPr>
          <w:rFonts w:cs="Arial"/>
        </w:rPr>
        <w:t xml:space="preserve"> The Partners generally refer to these three stores as Plaza Extra East (Sion Farm, St. Croix), Plaza Extra West (</w:t>
      </w:r>
      <w:proofErr w:type="spellStart"/>
      <w:r>
        <w:rPr>
          <w:rFonts w:cs="Arial"/>
        </w:rPr>
        <w:t>Pless</w:t>
      </w:r>
      <w:r w:rsidR="00551501">
        <w:rPr>
          <w:rFonts w:cs="Arial"/>
        </w:rPr>
        <w:t>o</w:t>
      </w:r>
      <w:r>
        <w:rPr>
          <w:rFonts w:cs="Arial"/>
        </w:rPr>
        <w:t>n</w:t>
      </w:r>
      <w:proofErr w:type="spellEnd"/>
      <w:r>
        <w:rPr>
          <w:rFonts w:cs="Arial"/>
        </w:rPr>
        <w:t>/Grove, St. Croix) and Plaza Extra St. Thomas (Tutu Park, St. Thomas</w:t>
      </w:r>
      <w:r w:rsidR="009A5934">
        <w:rPr>
          <w:rFonts w:cs="Arial"/>
        </w:rPr>
        <w:t>)</w:t>
      </w:r>
      <w:r>
        <w:rPr>
          <w:rFonts w:cs="Arial"/>
        </w:rPr>
        <w:t>.</w:t>
      </w:r>
      <w:r w:rsidR="009A5934">
        <w:rPr>
          <w:rFonts w:cs="Arial"/>
        </w:rPr>
        <w:t xml:space="preserve"> </w:t>
      </w:r>
      <w:r>
        <w:rPr>
          <w:rFonts w:cs="Arial"/>
        </w:rPr>
        <w:t xml:space="preserve"> These supermarkets have grown in size, currently employing in excess of 600 employees in the three stores.</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At all times relative hereto, the three Plaza Extra supermarkets have been managed jointly by the Partnership, with each Partner having an active role in the operations of the three stores either through their direct actions or through the actions of their authorized agents. </w:t>
      </w:r>
      <w:r w:rsidR="004C08C8">
        <w:rPr>
          <w:rFonts w:cs="Arial"/>
        </w:rPr>
        <w:t xml:space="preserve"> </w:t>
      </w:r>
      <w:r>
        <w:rPr>
          <w:rFonts w:cs="Arial"/>
        </w:rPr>
        <w:t xml:space="preserve">In this regard, each Partner always has had a designated family member in a top managerial position in each store, acting as each Partner’s representative and agent. </w:t>
      </w:r>
      <w:r w:rsidR="004C08C8">
        <w:rPr>
          <w:rFonts w:cs="Arial"/>
        </w:rPr>
        <w:t xml:space="preserve"> </w:t>
      </w:r>
      <w:r>
        <w:rPr>
          <w:rFonts w:cs="Arial"/>
        </w:rPr>
        <w:t xml:space="preserve">The designated managers from each Partner’s family jointly manage the respective stores together. </w:t>
      </w:r>
    </w:p>
    <w:p w:rsidR="007E1BB1" w:rsidRDefault="007E1BB1" w:rsidP="00EC16E7">
      <w:pPr>
        <w:numPr>
          <w:ilvl w:val="0"/>
          <w:numId w:val="10"/>
        </w:numPr>
        <w:autoSpaceDE w:val="0"/>
        <w:autoSpaceDN w:val="0"/>
        <w:adjustRightInd w:val="0"/>
        <w:spacing w:after="120"/>
        <w:jc w:val="both"/>
        <w:rPr>
          <w:rFonts w:cs="Arial"/>
        </w:rPr>
      </w:pPr>
      <w:r>
        <w:rPr>
          <w:rFonts w:cs="Arial"/>
        </w:rPr>
        <w:t>The Partnership has always had separate, segregated books and accounts for each of the three Plaza Extra Supermarkets, and kept a detailed accounting open to both partners for the expenses and profits of the Partnership wholly separate from the unrelated business operations of United in its operation of the United shopping center located at Sion Farm St. Croix.</w:t>
      </w:r>
    </w:p>
    <w:p w:rsidR="007E1BB1" w:rsidRDefault="007E1BB1" w:rsidP="00EC16E7">
      <w:pPr>
        <w:numPr>
          <w:ilvl w:val="0"/>
          <w:numId w:val="10"/>
        </w:numPr>
        <w:autoSpaceDE w:val="0"/>
        <w:autoSpaceDN w:val="0"/>
        <w:adjustRightInd w:val="0"/>
        <w:spacing w:after="120"/>
        <w:jc w:val="both"/>
        <w:rPr>
          <w:rFonts w:cs="Arial"/>
        </w:rPr>
      </w:pPr>
      <w:r>
        <w:rPr>
          <w:rFonts w:cs="Arial"/>
        </w:rPr>
        <w:t>As part of his Partnership activities Yusuf made the decision that the reporting of all accounting and other filings for these Partnership operations to the Government would be done by United, such as all tax filings and similar matters -- he provided the services of United as part of his partnership contribution, to which Mohammad Hamed did not object.</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The bank accounts for the three Plaza Extra supermarkets were created for the benefit of, and have always been accessible to (and transacted on) equally by the partners, Mohammad Hamed and Yusuf, with the Partners agreeing that -- to maintain management control -- Yusuf and Hamed (or one family member from each of the Hamed and Yusuf families as their agents) would sign each check written on these supermarket bank accounts. </w:t>
      </w:r>
      <w:r w:rsidR="0047226C">
        <w:rPr>
          <w:rFonts w:cs="Arial"/>
        </w:rPr>
        <w:t>. . .</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United has always had completely separate accounting records and separate bank accounts for its operations of the </w:t>
      </w:r>
      <w:r w:rsidR="00582E16">
        <w:rPr>
          <w:rFonts w:cs="Arial"/>
        </w:rPr>
        <w:t>“non</w:t>
      </w:r>
      <w:r>
        <w:rPr>
          <w:rFonts w:cs="Arial"/>
        </w:rPr>
        <w:t>-supermarket</w:t>
      </w:r>
      <w:r w:rsidR="00582E16">
        <w:rPr>
          <w:rFonts w:cs="Arial"/>
        </w:rPr>
        <w:t xml:space="preserve">” </w:t>
      </w:r>
      <w:r>
        <w:rPr>
          <w:rFonts w:cs="Arial"/>
        </w:rPr>
        <w:t xml:space="preserve">shopping center and business operations that were unrelated to the three Plaza Extra supermarket stores. Neither Mohammad Hamed nor his agents have access to these separate </w:t>
      </w:r>
      <w:r w:rsidR="000744B7">
        <w:rPr>
          <w:rFonts w:cs="Arial"/>
        </w:rPr>
        <w:t>“</w:t>
      </w:r>
      <w:r>
        <w:rPr>
          <w:rFonts w:cs="Arial"/>
        </w:rPr>
        <w:t>non-supermarket</w:t>
      </w:r>
      <w:r w:rsidR="000744B7">
        <w:rPr>
          <w:rFonts w:cs="Arial"/>
        </w:rPr>
        <w:t xml:space="preserve">” </w:t>
      </w:r>
      <w:r>
        <w:rPr>
          <w:rFonts w:cs="Arial"/>
        </w:rPr>
        <w:t>United bank accounts used by United for its shopping center and other businesses unrelated to the three Plaza Extra supermarkets.</w:t>
      </w:r>
    </w:p>
    <w:p w:rsidR="0047226C" w:rsidRDefault="007E1BB1" w:rsidP="00EC16E7">
      <w:pPr>
        <w:numPr>
          <w:ilvl w:val="0"/>
          <w:numId w:val="10"/>
        </w:numPr>
        <w:autoSpaceDE w:val="0"/>
        <w:autoSpaceDN w:val="0"/>
        <w:adjustRightInd w:val="0"/>
        <w:spacing w:after="120"/>
        <w:jc w:val="both"/>
        <w:rPr>
          <w:rFonts w:cs="Arial"/>
          <w:b/>
        </w:rPr>
      </w:pPr>
      <w:r>
        <w:rPr>
          <w:rFonts w:cs="Arial"/>
        </w:rPr>
        <w:lastRenderedPageBreak/>
        <w:t xml:space="preserve">At all times relative hereto, the Partnership profits from the Plaza Extra stores have always been held in the identified </w:t>
      </w:r>
      <w:r w:rsidR="009D1943">
        <w:rPr>
          <w:rFonts w:cs="Arial"/>
        </w:rPr>
        <w:t>“</w:t>
      </w:r>
      <w:r>
        <w:rPr>
          <w:rFonts w:cs="Arial"/>
        </w:rPr>
        <w:t>supermarket</w:t>
      </w:r>
      <w:r w:rsidR="009D1943">
        <w:rPr>
          <w:rFonts w:cs="Arial"/>
        </w:rPr>
        <w:t xml:space="preserve">” </w:t>
      </w:r>
      <w:r>
        <w:rPr>
          <w:rFonts w:cs="Arial"/>
        </w:rPr>
        <w:t xml:space="preserve">banking and brokerage accounts completely separate from the profits of United’s other unrelated businesses, even though the banking and brokerage accounts holding the profits from the Partnership are in accounts solely used by the Partnership and kept for the Partnership by United in segregated United accounts. </w:t>
      </w:r>
      <w:r w:rsidR="0047226C">
        <w:rPr>
          <w:rFonts w:cs="Arial"/>
        </w:rPr>
        <w:t>. . .</w:t>
      </w:r>
    </w:p>
    <w:p w:rsidR="007E1BB1" w:rsidRPr="0047226C" w:rsidRDefault="007E1BB1" w:rsidP="00EC16E7">
      <w:pPr>
        <w:numPr>
          <w:ilvl w:val="0"/>
          <w:numId w:val="10"/>
        </w:numPr>
        <w:autoSpaceDE w:val="0"/>
        <w:autoSpaceDN w:val="0"/>
        <w:adjustRightInd w:val="0"/>
        <w:spacing w:after="120"/>
        <w:jc w:val="both"/>
        <w:rPr>
          <w:rFonts w:cs="Arial"/>
          <w:b/>
        </w:rPr>
      </w:pPr>
      <w:r w:rsidRPr="0047226C">
        <w:rPr>
          <w:rFonts w:cs="Arial"/>
        </w:rPr>
        <w:t xml:space="preserve">At all times relative hereto, for more than 25 years, Mohammad Hamed and Yusuf have equally shared all the profits distributed by United to the Partnership -- from the operation of the three Plaza supermarkets -- and been responsible for all losses.  Except for the recent unauthorized removal of funds described herein, for 25 years, all such distributions from the supermarket accounts have been split 50/50 between the Partners. </w:t>
      </w:r>
    </w:p>
    <w:p w:rsidR="007E1BB1" w:rsidRDefault="007E1BB1" w:rsidP="00EC16E7">
      <w:pPr>
        <w:numPr>
          <w:ilvl w:val="0"/>
          <w:numId w:val="10"/>
        </w:numPr>
        <w:autoSpaceDE w:val="0"/>
        <w:autoSpaceDN w:val="0"/>
        <w:adjustRightInd w:val="0"/>
        <w:spacing w:after="120"/>
        <w:jc w:val="both"/>
        <w:rPr>
          <w:rFonts w:cs="Arial"/>
        </w:rPr>
      </w:pPr>
      <w:r>
        <w:rPr>
          <w:rFonts w:cs="Arial"/>
        </w:rPr>
        <w:t>The partners also agreed that all stores would employ and would rely on joint decisions of themselves (or their respective family members from each family assigned to each store), so that management would be by a working consensus of the two Partners directly or through their designated agents, all of whom are family members.</w:t>
      </w:r>
    </w:p>
    <w:p w:rsidR="007E1BB1" w:rsidRDefault="007E1BB1" w:rsidP="00EC16E7">
      <w:pPr>
        <w:numPr>
          <w:ilvl w:val="0"/>
          <w:numId w:val="10"/>
        </w:numPr>
        <w:autoSpaceDE w:val="0"/>
        <w:autoSpaceDN w:val="0"/>
        <w:adjustRightInd w:val="0"/>
        <w:spacing w:after="120"/>
        <w:jc w:val="both"/>
        <w:rPr>
          <w:rFonts w:cs="Arial"/>
        </w:rPr>
      </w:pPr>
      <w:r>
        <w:rPr>
          <w:rFonts w:cs="Arial"/>
        </w:rPr>
        <w:t xml:space="preserve">From time to time, Mohammad Hamed and Yusuf have used these profits, distributed solely from these </w:t>
      </w:r>
      <w:r w:rsidR="00071803">
        <w:rPr>
          <w:rFonts w:cs="Arial"/>
        </w:rPr>
        <w:t>“</w:t>
      </w:r>
      <w:r>
        <w:rPr>
          <w:rFonts w:cs="Arial"/>
        </w:rPr>
        <w:t>supermarket accounts</w:t>
      </w:r>
      <w:r w:rsidR="00071803">
        <w:rPr>
          <w:rFonts w:cs="Arial"/>
        </w:rPr>
        <w:t xml:space="preserve">” </w:t>
      </w:r>
      <w:r>
        <w:rPr>
          <w:rFonts w:cs="Arial"/>
        </w:rPr>
        <w:t xml:space="preserve">to buy other businesses and real property -- always then owning these jointly held assets, regardless of the form of ownership, on a 50/50 basis. </w:t>
      </w:r>
      <w:r w:rsidR="0063648C">
        <w:rPr>
          <w:rFonts w:cs="Arial"/>
        </w:rPr>
        <w:t>…[identifying several such assets]</w:t>
      </w:r>
    </w:p>
    <w:p w:rsidR="00DA3B23" w:rsidRDefault="007E1BB1" w:rsidP="00DA3B23">
      <w:pPr>
        <w:numPr>
          <w:ilvl w:val="0"/>
          <w:numId w:val="10"/>
        </w:numPr>
        <w:autoSpaceDE w:val="0"/>
        <w:autoSpaceDN w:val="0"/>
        <w:adjustRightInd w:val="0"/>
        <w:jc w:val="both"/>
        <w:rPr>
          <w:rFonts w:cs="Arial"/>
        </w:rPr>
      </w:pPr>
      <w:r>
        <w:rPr>
          <w:rFonts w:cs="Arial"/>
        </w:rPr>
        <w:t xml:space="preserve">In this regard, Hamed and Yusuf have also scrupulously maintained records of withdrawals from the United-held </w:t>
      </w:r>
      <w:r w:rsidR="00071803">
        <w:rPr>
          <w:rFonts w:cs="Arial"/>
        </w:rPr>
        <w:t>“</w:t>
      </w:r>
      <w:r>
        <w:rPr>
          <w:rFonts w:cs="Arial"/>
        </w:rPr>
        <w:t>supermarket</w:t>
      </w:r>
      <w:r w:rsidR="00071803">
        <w:rPr>
          <w:rFonts w:cs="Arial"/>
        </w:rPr>
        <w:t xml:space="preserve">” </w:t>
      </w:r>
      <w:r>
        <w:rPr>
          <w:rFonts w:cs="Arial"/>
        </w:rPr>
        <w:t xml:space="preserve">Partnership profit account to each of them (and their respective family members), to make certain there would always be an equal (50/50) amount of these withdrawals for each partner </w:t>
      </w:r>
      <w:r w:rsidR="00DA3B23">
        <w:rPr>
          <w:rFonts w:cs="Arial"/>
        </w:rPr>
        <w:t>. . . .</w:t>
      </w:r>
    </w:p>
    <w:p w:rsidR="00DA3B23" w:rsidRPr="00DA3B23" w:rsidRDefault="00DA3B23" w:rsidP="00DA3B23">
      <w:pPr>
        <w:autoSpaceDE w:val="0"/>
        <w:autoSpaceDN w:val="0"/>
        <w:adjustRightInd w:val="0"/>
        <w:jc w:val="both"/>
        <w:rPr>
          <w:rFonts w:cs="Arial"/>
        </w:rPr>
      </w:pPr>
    </w:p>
    <w:p w:rsidR="002D03CA" w:rsidRDefault="00CD7FAE" w:rsidP="00FC2951">
      <w:pPr>
        <w:spacing w:line="480" w:lineRule="auto"/>
        <w:jc w:val="both"/>
        <w:rPr>
          <w:rFonts w:cs="Arial"/>
          <w:bCs/>
          <w:color w:val="000000" w:themeColor="text1"/>
        </w:rPr>
      </w:pPr>
      <w:r>
        <w:rPr>
          <w:rFonts w:cs="Arial"/>
          <w:bCs/>
          <w:color w:val="000000" w:themeColor="text1"/>
        </w:rPr>
        <w:t>Applying the</w:t>
      </w:r>
      <w:r w:rsidR="00BB7935">
        <w:rPr>
          <w:rFonts w:cs="Arial"/>
          <w:bCs/>
          <w:color w:val="000000" w:themeColor="text1"/>
        </w:rPr>
        <w:t xml:space="preserve"> </w:t>
      </w:r>
      <w:r w:rsidR="00BB7935">
        <w:rPr>
          <w:rFonts w:cs="Arial"/>
          <w:bCs/>
          <w:i/>
          <w:color w:val="000000" w:themeColor="text1"/>
        </w:rPr>
        <w:t xml:space="preserve">Watts </w:t>
      </w:r>
      <w:r w:rsidR="00BB7935">
        <w:rPr>
          <w:rFonts w:cs="Arial"/>
          <w:bCs/>
          <w:color w:val="000000" w:themeColor="text1"/>
        </w:rPr>
        <w:t>test (</w:t>
      </w:r>
      <w:r w:rsidR="00FC2951">
        <w:rPr>
          <w:rFonts w:cs="Arial"/>
          <w:bCs/>
          <w:color w:val="000000" w:themeColor="text1"/>
        </w:rPr>
        <w:t>“</w:t>
      </w:r>
      <w:r w:rsidR="00BB7935">
        <w:rPr>
          <w:rFonts w:cs="Arial"/>
          <w:bCs/>
          <w:color w:val="000000" w:themeColor="text1"/>
        </w:rPr>
        <w:t>ignore conclusory allegations and look at the w</w:t>
      </w:r>
      <w:r w:rsidR="003E7133">
        <w:rPr>
          <w:rFonts w:cs="Arial"/>
          <w:bCs/>
          <w:color w:val="000000" w:themeColor="text1"/>
        </w:rPr>
        <w:t>ell-</w:t>
      </w:r>
      <w:r w:rsidR="00CA366A">
        <w:rPr>
          <w:rFonts w:cs="Arial"/>
          <w:bCs/>
          <w:color w:val="000000" w:themeColor="text1"/>
        </w:rPr>
        <w:t>pleaded facts</w:t>
      </w:r>
      <w:r w:rsidR="00FC2951">
        <w:rPr>
          <w:rFonts w:cs="Arial"/>
          <w:bCs/>
          <w:color w:val="000000" w:themeColor="text1"/>
        </w:rPr>
        <w:t>”</w:t>
      </w:r>
      <w:r w:rsidR="00CA366A">
        <w:rPr>
          <w:rFonts w:cs="Arial"/>
          <w:bCs/>
          <w:color w:val="000000" w:themeColor="text1"/>
        </w:rPr>
        <w:t xml:space="preserve">) </w:t>
      </w:r>
      <w:r w:rsidR="00BB7935">
        <w:rPr>
          <w:rFonts w:cs="Arial"/>
          <w:bCs/>
          <w:color w:val="000000" w:themeColor="text1"/>
        </w:rPr>
        <w:t>the</w:t>
      </w:r>
      <w:r w:rsidR="002D03CA">
        <w:rPr>
          <w:rFonts w:cs="Arial"/>
          <w:bCs/>
          <w:color w:val="000000" w:themeColor="text1"/>
        </w:rPr>
        <w:t>se allegations in the</w:t>
      </w:r>
      <w:r w:rsidR="00BB7935">
        <w:rPr>
          <w:rFonts w:cs="Arial"/>
          <w:bCs/>
          <w:color w:val="000000" w:themeColor="text1"/>
        </w:rPr>
        <w:t xml:space="preserve"> amended complaint </w:t>
      </w:r>
      <w:r w:rsidR="002D03CA">
        <w:rPr>
          <w:rFonts w:cs="Arial"/>
          <w:bCs/>
          <w:color w:val="000000" w:themeColor="text1"/>
        </w:rPr>
        <w:t>easily satisfy the</w:t>
      </w:r>
      <w:r w:rsidR="00CA366A">
        <w:rPr>
          <w:rFonts w:cs="Arial"/>
          <w:bCs/>
          <w:color w:val="000000" w:themeColor="text1"/>
        </w:rPr>
        <w:t xml:space="preserve"> pleading requirements</w:t>
      </w:r>
      <w:r w:rsidR="00C430A2">
        <w:rPr>
          <w:rFonts w:cs="Arial"/>
          <w:bCs/>
          <w:color w:val="000000" w:themeColor="text1"/>
        </w:rPr>
        <w:t xml:space="preserve"> under the federal rules</w:t>
      </w:r>
      <w:r w:rsidR="0031292A">
        <w:rPr>
          <w:rFonts w:cs="Arial"/>
          <w:bCs/>
          <w:color w:val="000000" w:themeColor="text1"/>
        </w:rPr>
        <w:t xml:space="preserve"> to establish </w:t>
      </w:r>
      <w:r w:rsidR="008F35C9">
        <w:rPr>
          <w:rFonts w:cs="Arial"/>
          <w:bCs/>
          <w:color w:val="000000" w:themeColor="text1"/>
        </w:rPr>
        <w:t xml:space="preserve">the existence of </w:t>
      </w:r>
      <w:r w:rsidR="0031292A">
        <w:rPr>
          <w:rFonts w:cs="Arial"/>
          <w:bCs/>
          <w:color w:val="000000" w:themeColor="text1"/>
        </w:rPr>
        <w:t>a partnership as alleged in Count I</w:t>
      </w:r>
      <w:r w:rsidR="00CA366A">
        <w:rPr>
          <w:rFonts w:cs="Arial"/>
          <w:bCs/>
          <w:color w:val="000000" w:themeColor="text1"/>
        </w:rPr>
        <w:t xml:space="preserve">. </w:t>
      </w:r>
    </w:p>
    <w:p w:rsidR="00DA3B23" w:rsidRDefault="002D03CA" w:rsidP="00FC2951">
      <w:pPr>
        <w:spacing w:line="480" w:lineRule="auto"/>
        <w:jc w:val="both"/>
        <w:rPr>
          <w:rFonts w:cs="Arial"/>
          <w:bCs/>
          <w:color w:val="000000" w:themeColor="text1"/>
        </w:rPr>
      </w:pPr>
      <w:r>
        <w:rPr>
          <w:rFonts w:cs="Arial"/>
          <w:bCs/>
          <w:color w:val="000000" w:themeColor="text1"/>
        </w:rPr>
        <w:tab/>
      </w:r>
      <w:r w:rsidR="00CA366A">
        <w:rPr>
          <w:rFonts w:cs="Arial"/>
          <w:bCs/>
          <w:color w:val="000000" w:themeColor="text1"/>
        </w:rPr>
        <w:t>However, the Court need not stop there</w:t>
      </w:r>
      <w:r w:rsidR="009A1063">
        <w:rPr>
          <w:rFonts w:cs="Arial"/>
          <w:bCs/>
          <w:color w:val="000000" w:themeColor="text1"/>
        </w:rPr>
        <w:t>.  T</w:t>
      </w:r>
      <w:r w:rsidR="00CA366A">
        <w:rPr>
          <w:rFonts w:cs="Arial"/>
          <w:bCs/>
          <w:color w:val="000000" w:themeColor="text1"/>
        </w:rPr>
        <w:t xml:space="preserve">he amended complaint </w:t>
      </w:r>
      <w:r w:rsidR="00C430A2">
        <w:rPr>
          <w:rFonts w:cs="Arial"/>
          <w:bCs/>
          <w:color w:val="000000" w:themeColor="text1"/>
        </w:rPr>
        <w:t xml:space="preserve">goes on to incorporate several exhibits that include admissions made by Yusuf </w:t>
      </w:r>
      <w:r w:rsidR="00427445">
        <w:rPr>
          <w:rFonts w:cs="Arial"/>
          <w:bCs/>
          <w:color w:val="000000" w:themeColor="text1"/>
        </w:rPr>
        <w:t>reinforcing</w:t>
      </w:r>
      <w:r w:rsidR="00C430A2">
        <w:rPr>
          <w:rFonts w:cs="Arial"/>
          <w:bCs/>
          <w:color w:val="000000" w:themeColor="text1"/>
        </w:rPr>
        <w:t xml:space="preserve"> </w:t>
      </w:r>
      <w:r w:rsidR="00D17FB8">
        <w:rPr>
          <w:rFonts w:cs="Arial"/>
          <w:bCs/>
          <w:color w:val="000000" w:themeColor="text1"/>
        </w:rPr>
        <w:t xml:space="preserve">the </w:t>
      </w:r>
      <w:r w:rsidR="009A1063">
        <w:rPr>
          <w:rFonts w:cs="Arial"/>
          <w:bCs/>
          <w:color w:val="000000" w:themeColor="text1"/>
        </w:rPr>
        <w:t xml:space="preserve">numbered paragraphs </w:t>
      </w:r>
      <w:r w:rsidR="008748C2">
        <w:rPr>
          <w:rFonts w:cs="Arial"/>
          <w:bCs/>
          <w:color w:val="000000" w:themeColor="text1"/>
        </w:rPr>
        <w:t>aver</w:t>
      </w:r>
      <w:r w:rsidR="009A1063">
        <w:rPr>
          <w:rFonts w:cs="Arial"/>
          <w:bCs/>
          <w:color w:val="000000" w:themeColor="text1"/>
        </w:rPr>
        <w:t>ring</w:t>
      </w:r>
      <w:r w:rsidR="008748C2">
        <w:rPr>
          <w:rFonts w:cs="Arial"/>
          <w:bCs/>
          <w:color w:val="000000" w:themeColor="text1"/>
        </w:rPr>
        <w:t xml:space="preserve"> </w:t>
      </w:r>
      <w:r w:rsidR="00C430A2">
        <w:rPr>
          <w:rFonts w:cs="Arial"/>
          <w:bCs/>
          <w:color w:val="000000" w:themeColor="text1"/>
        </w:rPr>
        <w:t>a partnership between the parties. (DE-1</w:t>
      </w:r>
      <w:r w:rsidR="00B85CCB">
        <w:rPr>
          <w:rFonts w:cs="Arial"/>
          <w:bCs/>
          <w:color w:val="000000" w:themeColor="text1"/>
        </w:rPr>
        <w:t>5, 1-5</w:t>
      </w:r>
      <w:r w:rsidR="00C430A2">
        <w:rPr>
          <w:rFonts w:cs="Arial"/>
          <w:bCs/>
          <w:color w:val="000000" w:themeColor="text1"/>
        </w:rPr>
        <w:t xml:space="preserve">) </w:t>
      </w:r>
      <w:r w:rsidR="005712A4">
        <w:rPr>
          <w:rFonts w:cs="Arial"/>
          <w:bCs/>
          <w:color w:val="000000" w:themeColor="text1"/>
        </w:rPr>
        <w:t xml:space="preserve"> </w:t>
      </w:r>
    </w:p>
    <w:p w:rsidR="00FC2951" w:rsidRPr="00F661A1" w:rsidRDefault="00C430A2" w:rsidP="00DA3B23">
      <w:pPr>
        <w:spacing w:line="480" w:lineRule="auto"/>
        <w:ind w:firstLine="720"/>
        <w:jc w:val="both"/>
        <w:rPr>
          <w:rFonts w:cs="Arial"/>
        </w:rPr>
      </w:pPr>
      <w:r>
        <w:rPr>
          <w:rFonts w:cs="Arial"/>
          <w:bCs/>
          <w:color w:val="000000" w:themeColor="text1"/>
        </w:rPr>
        <w:lastRenderedPageBreak/>
        <w:t xml:space="preserve">One </w:t>
      </w:r>
      <w:r w:rsidR="00A4370A">
        <w:rPr>
          <w:rFonts w:cs="Arial"/>
          <w:bCs/>
          <w:color w:val="000000" w:themeColor="text1"/>
        </w:rPr>
        <w:t xml:space="preserve">such </w:t>
      </w:r>
      <w:r>
        <w:rPr>
          <w:rFonts w:cs="Arial"/>
          <w:bCs/>
          <w:color w:val="000000" w:themeColor="text1"/>
        </w:rPr>
        <w:t>ex</w:t>
      </w:r>
      <w:r w:rsidR="00DA3B23">
        <w:rPr>
          <w:rFonts w:cs="Arial"/>
          <w:bCs/>
          <w:color w:val="000000" w:themeColor="text1"/>
        </w:rPr>
        <w:t xml:space="preserve">hibit </w:t>
      </w:r>
      <w:r>
        <w:rPr>
          <w:rFonts w:cs="Arial"/>
          <w:bCs/>
          <w:color w:val="000000" w:themeColor="text1"/>
        </w:rPr>
        <w:t xml:space="preserve">is the </w:t>
      </w:r>
      <w:r w:rsidR="00CA366A">
        <w:rPr>
          <w:rFonts w:cs="Arial"/>
          <w:bCs/>
          <w:color w:val="000000" w:themeColor="text1"/>
        </w:rPr>
        <w:t xml:space="preserve">sworn testimony of Fathi Yusuf </w:t>
      </w:r>
      <w:r w:rsidR="008F35C9">
        <w:rPr>
          <w:rFonts w:cs="Arial"/>
          <w:bCs/>
          <w:color w:val="000000" w:themeColor="text1"/>
        </w:rPr>
        <w:t>as to</w:t>
      </w:r>
      <w:r w:rsidR="00CA366A">
        <w:rPr>
          <w:rFonts w:cs="Arial"/>
          <w:bCs/>
          <w:color w:val="000000" w:themeColor="text1"/>
        </w:rPr>
        <w:t xml:space="preserve"> the </w:t>
      </w:r>
      <w:r w:rsidR="009A1063">
        <w:rPr>
          <w:rFonts w:cs="Arial"/>
          <w:bCs/>
          <w:color w:val="000000" w:themeColor="text1"/>
        </w:rPr>
        <w:t xml:space="preserve">specifics of the </w:t>
      </w:r>
      <w:r w:rsidR="00CA366A">
        <w:rPr>
          <w:rFonts w:cs="Arial"/>
          <w:bCs/>
          <w:color w:val="000000" w:themeColor="text1"/>
        </w:rPr>
        <w:t>formation</w:t>
      </w:r>
      <w:r w:rsidR="009A1063">
        <w:rPr>
          <w:rFonts w:cs="Arial"/>
          <w:bCs/>
          <w:color w:val="000000" w:themeColor="text1"/>
        </w:rPr>
        <w:t>, terms</w:t>
      </w:r>
      <w:r w:rsidR="00CA366A">
        <w:rPr>
          <w:rFonts w:cs="Arial"/>
          <w:bCs/>
          <w:color w:val="000000" w:themeColor="text1"/>
        </w:rPr>
        <w:t xml:space="preserve"> </w:t>
      </w:r>
      <w:r>
        <w:rPr>
          <w:rFonts w:cs="Arial"/>
          <w:bCs/>
          <w:color w:val="000000" w:themeColor="text1"/>
        </w:rPr>
        <w:t xml:space="preserve">and </w:t>
      </w:r>
      <w:r w:rsidR="00A4370A">
        <w:rPr>
          <w:rFonts w:cs="Arial"/>
          <w:bCs/>
          <w:color w:val="000000" w:themeColor="text1"/>
        </w:rPr>
        <w:t>actions</w:t>
      </w:r>
      <w:r>
        <w:rPr>
          <w:rFonts w:cs="Arial"/>
          <w:bCs/>
          <w:color w:val="000000" w:themeColor="text1"/>
        </w:rPr>
        <w:t xml:space="preserve"> </w:t>
      </w:r>
      <w:r w:rsidR="00CA366A">
        <w:rPr>
          <w:rFonts w:cs="Arial"/>
          <w:bCs/>
          <w:color w:val="000000" w:themeColor="text1"/>
        </w:rPr>
        <w:t>of this partnership.</w:t>
      </w:r>
      <w:r w:rsidR="00FC2951" w:rsidRPr="00FC2951">
        <w:rPr>
          <w:rFonts w:cs="Arial"/>
        </w:rPr>
        <w:t xml:space="preserve"> </w:t>
      </w:r>
      <w:r w:rsidR="001D51CB">
        <w:rPr>
          <w:rFonts w:cs="Arial"/>
        </w:rPr>
        <w:t>(DE 15-1)</w:t>
      </w:r>
      <w:r w:rsidR="00407367">
        <w:rPr>
          <w:rStyle w:val="FootnoteReference"/>
          <w:rFonts w:cs="Arial"/>
        </w:rPr>
        <w:footnoteReference w:id="3"/>
      </w:r>
      <w:r w:rsidR="00DA3B23">
        <w:rPr>
          <w:rFonts w:cs="Arial"/>
        </w:rPr>
        <w:t xml:space="preserve"> </w:t>
      </w:r>
      <w:r w:rsidR="005712A4">
        <w:rPr>
          <w:rFonts w:cs="Arial"/>
        </w:rPr>
        <w:t xml:space="preserve"> </w:t>
      </w:r>
      <w:r w:rsidR="00FC2951">
        <w:rPr>
          <w:rFonts w:cs="Arial"/>
        </w:rPr>
        <w:t>This deposition was given in 2000, just before any of the legal issues arose</w:t>
      </w:r>
      <w:r w:rsidR="00407367">
        <w:rPr>
          <w:rFonts w:cs="Arial"/>
        </w:rPr>
        <w:t xml:space="preserve"> between the parties</w:t>
      </w:r>
      <w:r w:rsidR="00FC2951">
        <w:rPr>
          <w:rFonts w:cs="Arial"/>
        </w:rPr>
        <w:t>.</w:t>
      </w:r>
      <w:r w:rsidR="00407367">
        <w:rPr>
          <w:rFonts w:cs="Arial"/>
        </w:rPr>
        <w:t xml:space="preserve"> </w:t>
      </w:r>
      <w:r w:rsidR="00001A1A">
        <w:rPr>
          <w:rFonts w:cs="Arial"/>
        </w:rPr>
        <w:t xml:space="preserve"> </w:t>
      </w:r>
      <w:r w:rsidR="009A1063">
        <w:rPr>
          <w:rFonts w:cs="Arial"/>
        </w:rPr>
        <w:t>Yusuf and United were joint defendants in th</w:t>
      </w:r>
      <w:r w:rsidR="00A4370A">
        <w:rPr>
          <w:rFonts w:cs="Arial"/>
        </w:rPr>
        <w:t>at</w:t>
      </w:r>
      <w:r w:rsidR="009A1063">
        <w:rPr>
          <w:rFonts w:cs="Arial"/>
        </w:rPr>
        <w:t xml:space="preserve"> action -- represented by joint counsel at the deposition.  </w:t>
      </w:r>
      <w:r w:rsidR="00407367">
        <w:rPr>
          <w:rFonts w:cs="Arial"/>
        </w:rPr>
        <w:t>This sworn statement is</w:t>
      </w:r>
      <w:r w:rsidR="009A1063">
        <w:rPr>
          <w:rFonts w:cs="Arial"/>
        </w:rPr>
        <w:t>,</w:t>
      </w:r>
      <w:r w:rsidR="00407367">
        <w:rPr>
          <w:rFonts w:cs="Arial"/>
        </w:rPr>
        <w:t xml:space="preserve"> therefore</w:t>
      </w:r>
      <w:r w:rsidR="009A1063">
        <w:rPr>
          <w:rFonts w:cs="Arial"/>
        </w:rPr>
        <w:t>,</w:t>
      </w:r>
      <w:r w:rsidR="00407367">
        <w:rPr>
          <w:rFonts w:cs="Arial"/>
        </w:rPr>
        <w:t xml:space="preserve"> untainted</w:t>
      </w:r>
      <w:r w:rsidR="00FC2951">
        <w:rPr>
          <w:rFonts w:cs="Arial"/>
        </w:rPr>
        <w:t xml:space="preserve">.  At the very outset, Yusuf admits that he owned only “50 percent of </w:t>
      </w:r>
      <w:r w:rsidR="00FC2951" w:rsidRPr="00D17FB8">
        <w:rPr>
          <w:rFonts w:cs="Arial"/>
          <w:b/>
        </w:rPr>
        <w:t>Plaza Extra</w:t>
      </w:r>
      <w:r w:rsidR="00FC2951">
        <w:rPr>
          <w:rFonts w:cs="Arial"/>
        </w:rPr>
        <w:t xml:space="preserve"> in 1986,” and made the distinction that he owned </w:t>
      </w:r>
      <w:r w:rsidR="00FC2951" w:rsidRPr="00D17FB8">
        <w:rPr>
          <w:rFonts w:cs="Arial"/>
          <w:b/>
        </w:rPr>
        <w:t>100% of the “United Shopping Plaza</w:t>
      </w:r>
      <w:r w:rsidR="00FC2951">
        <w:rPr>
          <w:rFonts w:cs="Arial"/>
        </w:rPr>
        <w:t>” (</w:t>
      </w:r>
      <w:r w:rsidR="001D51CB" w:rsidRPr="006F45F9">
        <w:rPr>
          <w:rFonts w:cs="Arial"/>
          <w:b/>
        </w:rPr>
        <w:t>Exhibit 1</w:t>
      </w:r>
      <w:r w:rsidR="00FC2951">
        <w:rPr>
          <w:rFonts w:cs="Arial"/>
        </w:rPr>
        <w:t xml:space="preserve"> at p.</w:t>
      </w:r>
      <w:r w:rsidR="003B1EB5">
        <w:rPr>
          <w:rFonts w:cs="Arial"/>
        </w:rPr>
        <w:t xml:space="preserve"> </w:t>
      </w:r>
      <w:r w:rsidR="00FC2951">
        <w:rPr>
          <w:rFonts w:cs="Arial"/>
        </w:rPr>
        <w:t>8:1-14)</w:t>
      </w:r>
      <w:r w:rsidR="009A1063">
        <w:rPr>
          <w:rFonts w:cs="Arial"/>
        </w:rPr>
        <w:t xml:space="preserve"> </w:t>
      </w:r>
      <w:r w:rsidR="00056723">
        <w:rPr>
          <w:rFonts w:cs="Arial"/>
        </w:rPr>
        <w:t>(Emphasis added</w:t>
      </w:r>
      <w:r w:rsidR="008748C2">
        <w:rPr>
          <w:rFonts w:cs="Arial"/>
        </w:rPr>
        <w:t>)</w:t>
      </w:r>
      <w:r w:rsidR="00B235FA">
        <w:rPr>
          <w:rFonts w:cs="Arial"/>
        </w:rPr>
        <w:t>.</w:t>
      </w:r>
      <w:r w:rsidR="008F35C9">
        <w:rPr>
          <w:rFonts w:cs="Arial"/>
        </w:rPr>
        <w:t xml:space="preserve"> </w:t>
      </w:r>
      <w:r w:rsidR="00FC2951">
        <w:rPr>
          <w:rFonts w:cs="Arial"/>
        </w:rPr>
        <w:t xml:space="preserve"> </w:t>
      </w:r>
      <w:r w:rsidR="008F35C9">
        <w:rPr>
          <w:rFonts w:cs="Arial"/>
        </w:rPr>
        <w:t xml:space="preserve">This supports the factual averment by </w:t>
      </w:r>
      <w:r w:rsidR="00FC2951">
        <w:rPr>
          <w:rFonts w:cs="Arial"/>
        </w:rPr>
        <w:t xml:space="preserve">Mohammed Hamed that </w:t>
      </w:r>
      <w:r w:rsidR="00407367">
        <w:rPr>
          <w:rFonts w:cs="Arial"/>
        </w:rPr>
        <w:t xml:space="preserve">his </w:t>
      </w:r>
      <w:r w:rsidR="00FC2951">
        <w:rPr>
          <w:rFonts w:cs="Arial"/>
        </w:rPr>
        <w:t xml:space="preserve">partnership in the Plaza Extra supermarket </w:t>
      </w:r>
      <w:r w:rsidR="008F35C9">
        <w:rPr>
          <w:rFonts w:cs="Arial"/>
        </w:rPr>
        <w:t xml:space="preserve">operations </w:t>
      </w:r>
      <w:r w:rsidR="00FC2951">
        <w:rPr>
          <w:rFonts w:cs="Arial"/>
        </w:rPr>
        <w:t>began in the mid-1980’s.  Yusuf then explains in detail how no bank would loan him funds while he tried to build the shopping center because he did not have any formal specifications. (</w:t>
      </w:r>
      <w:r w:rsidR="00FC2951" w:rsidRPr="004F12BF">
        <w:rPr>
          <w:rFonts w:cs="Arial"/>
          <w:b/>
        </w:rPr>
        <w:t xml:space="preserve">Exhibit </w:t>
      </w:r>
      <w:r w:rsidR="006F45F9">
        <w:rPr>
          <w:rFonts w:cs="Arial"/>
          <w:b/>
        </w:rPr>
        <w:t>1</w:t>
      </w:r>
      <w:r w:rsidR="00FC2951">
        <w:rPr>
          <w:rFonts w:cs="Arial"/>
        </w:rPr>
        <w:t xml:space="preserve"> at p. 10:1-21)  He then describes how, when he was broke, plaintiff saved this project</w:t>
      </w:r>
      <w:r w:rsidR="008F35C9">
        <w:rPr>
          <w:rFonts w:cs="Arial"/>
        </w:rPr>
        <w:t xml:space="preserve">. </w:t>
      </w:r>
      <w:r w:rsidR="00001A1A">
        <w:rPr>
          <w:rFonts w:cs="Arial"/>
        </w:rPr>
        <w:t xml:space="preserve"> </w:t>
      </w:r>
      <w:r w:rsidR="008F35C9">
        <w:rPr>
          <w:rFonts w:cs="Arial"/>
        </w:rPr>
        <w:t xml:space="preserve">This supports the averment that plaintiff </w:t>
      </w:r>
      <w:r w:rsidR="00A4370A">
        <w:rPr>
          <w:rFonts w:cs="Arial"/>
        </w:rPr>
        <w:t>contributed</w:t>
      </w:r>
      <w:r w:rsidR="008F35C9">
        <w:rPr>
          <w:rFonts w:cs="Arial"/>
        </w:rPr>
        <w:t xml:space="preserve"> to the partnership capital.  </w:t>
      </w:r>
      <w:r w:rsidR="00FC2951">
        <w:rPr>
          <w:rFonts w:cs="Arial"/>
        </w:rPr>
        <w:t>(</w:t>
      </w:r>
      <w:r w:rsidR="00FC2951" w:rsidRPr="004F12BF">
        <w:rPr>
          <w:rFonts w:cs="Arial"/>
          <w:b/>
        </w:rPr>
        <w:t xml:space="preserve">Exhibit </w:t>
      </w:r>
      <w:r w:rsidR="006F45F9">
        <w:rPr>
          <w:rFonts w:cs="Arial"/>
          <w:b/>
        </w:rPr>
        <w:t>1</w:t>
      </w:r>
      <w:r w:rsidR="00FC2951">
        <w:rPr>
          <w:rFonts w:cs="Arial"/>
        </w:rPr>
        <w:t xml:space="preserve"> at pp. 14:5-15:14) (</w:t>
      </w:r>
      <w:r w:rsidR="008748C2">
        <w:rPr>
          <w:rFonts w:cs="Arial"/>
        </w:rPr>
        <w:t>e</w:t>
      </w:r>
      <w:r w:rsidR="00FC2951">
        <w:rPr>
          <w:rFonts w:cs="Arial"/>
        </w:rPr>
        <w:t>mphasis added):</w:t>
      </w:r>
    </w:p>
    <w:p w:rsidR="00FC2951" w:rsidRPr="00F661A1" w:rsidRDefault="00FC2951" w:rsidP="00FC2951">
      <w:pPr>
        <w:ind w:left="432"/>
        <w:jc w:val="both"/>
        <w:rPr>
          <w:rFonts w:cs="Arial"/>
        </w:rPr>
      </w:pPr>
      <w:r w:rsidRPr="00F43639">
        <w:rPr>
          <w:rFonts w:cs="Arial"/>
        </w:rPr>
        <w:t xml:space="preserve">When I was in the financial difficulty, when I was in financial difficulty, my brother-in-law, he knew.  I shouldn’t – he started to bring me money.  Okay?  He own a grocery, Mohammed Hamed, while I was building, and he have some cash.  He knew I’m tight. </w:t>
      </w:r>
      <w:r>
        <w:rPr>
          <w:rFonts w:cs="Arial"/>
        </w:rPr>
        <w:t xml:space="preserve"> </w:t>
      </w:r>
      <w:r w:rsidRPr="00F43639">
        <w:rPr>
          <w:rFonts w:cs="Arial"/>
        </w:rPr>
        <w:t xml:space="preserve">He started bring me money.  Bring me I think 5,000, 10,000.  I took it.  After that I say, Look we Family, we want to stay family.  I can’t take no money from you because I don’t see how I could pay you back.  So he insisted, Take the money.  If you can afford to, maybe pay me.  And if you can’t, forget about it. Okay. He kept giving me.  I tell him, Under this condition I will take it. I will take it. He kept giving me until $200,000.  </w:t>
      </w:r>
      <w:r w:rsidRPr="009A6E66">
        <w:rPr>
          <w:rFonts w:cs="Arial"/>
          <w:b/>
        </w:rPr>
        <w:t>Every dollar he make profit, he give it to me.  He win the lottery twice, he gave it to me. All right? That time the man have a little grocery, they call Estate Carlton Grocery.  Very small, less than 1,000 square foot, but he was a very hard worker with his children.</w:t>
      </w:r>
      <w:r w:rsidRPr="00F43639">
        <w:rPr>
          <w:rFonts w:cs="Arial"/>
        </w:rPr>
        <w:t xml:space="preserve">  And it was, you know, just like a convenience mom-and-pop stores. He was covering expenses and saving money</w:t>
      </w:r>
      <w:r w:rsidRPr="00F661A1">
        <w:rPr>
          <w:rFonts w:cs="Arial"/>
        </w:rPr>
        <w:t>.</w:t>
      </w:r>
      <w:r>
        <w:rPr>
          <w:rFonts w:cs="Arial"/>
        </w:rPr>
        <w:t xml:space="preserve"> </w:t>
      </w:r>
    </w:p>
    <w:p w:rsidR="00FC2951" w:rsidRPr="003B1EB5" w:rsidRDefault="003B1EB5" w:rsidP="00D17FB8">
      <w:pPr>
        <w:ind w:left="432" w:right="288"/>
        <w:jc w:val="center"/>
        <w:rPr>
          <w:rFonts w:cs="Arial"/>
        </w:rPr>
      </w:pPr>
      <w:r>
        <w:rPr>
          <w:rFonts w:cs="Arial"/>
        </w:rPr>
        <w:t xml:space="preserve">. . . </w:t>
      </w:r>
    </w:p>
    <w:p w:rsidR="00FC2951" w:rsidRDefault="00FC2951" w:rsidP="00FC2951">
      <w:pPr>
        <w:ind w:left="432"/>
        <w:jc w:val="both"/>
        <w:rPr>
          <w:rFonts w:cs="Arial"/>
        </w:rPr>
      </w:pPr>
      <w:r w:rsidRPr="00F661A1">
        <w:rPr>
          <w:rFonts w:cs="Arial"/>
        </w:rPr>
        <w:t xml:space="preserve">I say, Brother-in-law, </w:t>
      </w:r>
      <w:r w:rsidRPr="00F661A1">
        <w:rPr>
          <w:rFonts w:cs="Arial"/>
          <w:b/>
        </w:rPr>
        <w:t>you want to be a partner too?  He said, Why not?</w:t>
      </w:r>
      <w:r w:rsidRPr="00F661A1">
        <w:rPr>
          <w:rFonts w:cs="Arial"/>
        </w:rPr>
        <w:t xml:space="preserve">  You know, as a family, we sit down.  Says, How much more can you raise.  Say, I could raise 200,000 more. </w:t>
      </w:r>
      <w:r w:rsidRPr="00F661A1">
        <w:rPr>
          <w:rFonts w:cs="Arial"/>
          <w:b/>
        </w:rPr>
        <w:t xml:space="preserve"> I said, Okay.  Sell your grocery.  I’ll take the two hundred, four hundred.  You will become 25 percent partner.  </w:t>
      </w:r>
      <w:r>
        <w:rPr>
          <w:rFonts w:cs="Arial"/>
          <w:b/>
        </w:rPr>
        <w:t xml:space="preserve"> </w:t>
      </w:r>
      <w:r w:rsidRPr="00F661A1">
        <w:rPr>
          <w:rFonts w:cs="Arial"/>
          <w:b/>
        </w:rPr>
        <w:t xml:space="preserve">So we end up I’m 25 </w:t>
      </w:r>
      <w:r w:rsidRPr="00F661A1">
        <w:rPr>
          <w:rFonts w:cs="Arial"/>
          <w:b/>
        </w:rPr>
        <w:lastRenderedPageBreak/>
        <w:t xml:space="preserve">percent, my two nephew 25 each, and my brother-in-law, </w:t>
      </w:r>
      <w:r>
        <w:rPr>
          <w:rFonts w:cs="Arial"/>
          <w:b/>
        </w:rPr>
        <w:t xml:space="preserve">Mohammad Hamed, 25 percent.  I </w:t>
      </w:r>
      <w:r w:rsidRPr="00F661A1">
        <w:rPr>
          <w:rFonts w:cs="Arial"/>
          <w:b/>
        </w:rPr>
        <w:t>don’t recall the year, could be ’83 or ’84,</w:t>
      </w:r>
      <w:r w:rsidRPr="00F661A1">
        <w:rPr>
          <w:rFonts w:cs="Arial"/>
        </w:rPr>
        <w:t xml:space="preserve"> but at least thanks God in the year that Sunshine Supermarket opened, because his supermarket is the one who carries these two young men and my brother to go int</w:t>
      </w:r>
      <w:r w:rsidR="00A44EEA">
        <w:rPr>
          <w:rFonts w:cs="Arial"/>
        </w:rPr>
        <w:t xml:space="preserve">o supermarket with me.  </w:t>
      </w:r>
      <w:r w:rsidRPr="00F661A1">
        <w:rPr>
          <w:rFonts w:cs="Arial"/>
        </w:rPr>
        <w:t>So I have their money, I finish the building.</w:t>
      </w:r>
    </w:p>
    <w:p w:rsidR="00FC2951" w:rsidRPr="00F661A1" w:rsidRDefault="00FC2951" w:rsidP="00FC2951">
      <w:pPr>
        <w:ind w:left="432" w:right="432"/>
        <w:jc w:val="both"/>
        <w:rPr>
          <w:rFonts w:cs="Arial"/>
        </w:rPr>
      </w:pPr>
    </w:p>
    <w:p w:rsidR="00FC2951" w:rsidRPr="00F661A1" w:rsidRDefault="00FC2951" w:rsidP="00FC2951">
      <w:pPr>
        <w:spacing w:line="480" w:lineRule="auto"/>
        <w:jc w:val="both"/>
        <w:rPr>
          <w:rFonts w:cs="Arial"/>
        </w:rPr>
      </w:pPr>
      <w:r>
        <w:rPr>
          <w:rFonts w:cs="Arial"/>
        </w:rPr>
        <w:t xml:space="preserve">Yusuf then continued by explaining how the other two partners decided to leave, resulting in plaintiff becoming his </w:t>
      </w:r>
      <w:r w:rsidR="00A4370A">
        <w:rPr>
          <w:rFonts w:cs="Arial"/>
        </w:rPr>
        <w:t>50%</w:t>
      </w:r>
      <w:r>
        <w:rPr>
          <w:rFonts w:cs="Arial"/>
        </w:rPr>
        <w:t xml:space="preserve"> partner in the supermarket</w:t>
      </w:r>
      <w:r w:rsidR="00A4370A">
        <w:rPr>
          <w:rFonts w:cs="Arial"/>
        </w:rPr>
        <w:t>s</w:t>
      </w:r>
      <w:r w:rsidR="008F35C9">
        <w:rPr>
          <w:rFonts w:cs="Arial"/>
        </w:rPr>
        <w:t>.</w:t>
      </w:r>
      <w:r w:rsidR="00001A1A">
        <w:rPr>
          <w:rFonts w:cs="Arial"/>
        </w:rPr>
        <w:t xml:space="preserve"> </w:t>
      </w:r>
      <w:r w:rsidR="008F35C9">
        <w:rPr>
          <w:rFonts w:cs="Arial"/>
        </w:rPr>
        <w:t xml:space="preserve"> This supports the averment that his contribution (and he himself) were</w:t>
      </w:r>
      <w:r>
        <w:rPr>
          <w:rFonts w:cs="Arial"/>
        </w:rPr>
        <w:t xml:space="preserve"> fully exposed </w:t>
      </w:r>
      <w:r w:rsidR="008748C2">
        <w:rPr>
          <w:rFonts w:cs="Arial"/>
        </w:rPr>
        <w:t xml:space="preserve">both </w:t>
      </w:r>
      <w:r>
        <w:rPr>
          <w:rFonts w:cs="Arial"/>
        </w:rPr>
        <w:t xml:space="preserve">to </w:t>
      </w:r>
      <w:r w:rsidR="008748C2">
        <w:rPr>
          <w:rFonts w:cs="Arial"/>
        </w:rPr>
        <w:t xml:space="preserve">the </w:t>
      </w:r>
      <w:r>
        <w:rPr>
          <w:rFonts w:cs="Arial"/>
        </w:rPr>
        <w:t>loss</w:t>
      </w:r>
      <w:r w:rsidR="0064791A">
        <w:rPr>
          <w:rFonts w:cs="Arial"/>
        </w:rPr>
        <w:t xml:space="preserve"> of </w:t>
      </w:r>
      <w:r w:rsidR="003F3732">
        <w:rPr>
          <w:rFonts w:cs="Arial"/>
        </w:rPr>
        <w:t>these</w:t>
      </w:r>
      <w:r w:rsidR="0064791A">
        <w:rPr>
          <w:rFonts w:cs="Arial"/>
        </w:rPr>
        <w:t xml:space="preserve"> funds and obl</w:t>
      </w:r>
      <w:r w:rsidR="00A27861">
        <w:rPr>
          <w:rFonts w:cs="Arial"/>
        </w:rPr>
        <w:t xml:space="preserve">igations to pay off other </w:t>
      </w:r>
      <w:r w:rsidR="0064791A">
        <w:rPr>
          <w:rFonts w:cs="Arial"/>
        </w:rPr>
        <w:t>investors</w:t>
      </w:r>
      <w:r>
        <w:rPr>
          <w:rFonts w:cs="Arial"/>
        </w:rPr>
        <w:t>. (</w:t>
      </w:r>
      <w:r w:rsidR="001D26DF">
        <w:rPr>
          <w:rFonts w:cs="Arial"/>
          <w:b/>
        </w:rPr>
        <w:t>Exhibit</w:t>
      </w:r>
      <w:r w:rsidR="00A4370A" w:rsidRPr="004F12BF">
        <w:rPr>
          <w:rFonts w:cs="Arial"/>
          <w:b/>
        </w:rPr>
        <w:t xml:space="preserve"> </w:t>
      </w:r>
      <w:r w:rsidR="006F45F9">
        <w:rPr>
          <w:rFonts w:cs="Arial"/>
          <w:b/>
        </w:rPr>
        <w:t>1</w:t>
      </w:r>
      <w:r>
        <w:rPr>
          <w:rFonts w:cs="Arial"/>
        </w:rPr>
        <w:t xml:space="preserve"> at pp. </w:t>
      </w:r>
      <w:r w:rsidRPr="00F661A1">
        <w:rPr>
          <w:rFonts w:cs="Arial"/>
        </w:rPr>
        <w:t>17</w:t>
      </w:r>
      <w:r>
        <w:rPr>
          <w:rFonts w:cs="Arial"/>
        </w:rPr>
        <w:t>-19</w:t>
      </w:r>
      <w:r w:rsidRPr="00F661A1">
        <w:rPr>
          <w:rFonts w:cs="Arial"/>
        </w:rPr>
        <w:t>:6-10</w:t>
      </w:r>
      <w:r>
        <w:rPr>
          <w:rFonts w:cs="Arial"/>
        </w:rPr>
        <w:t>) (</w:t>
      </w:r>
      <w:proofErr w:type="gramStart"/>
      <w:r w:rsidR="001D26DF">
        <w:rPr>
          <w:rFonts w:cs="Arial"/>
        </w:rPr>
        <w:t>e</w:t>
      </w:r>
      <w:r>
        <w:rPr>
          <w:rFonts w:cs="Arial"/>
        </w:rPr>
        <w:t>mphasis</w:t>
      </w:r>
      <w:proofErr w:type="gramEnd"/>
      <w:r>
        <w:rPr>
          <w:rFonts w:cs="Arial"/>
        </w:rPr>
        <w:t xml:space="preserve"> added):</w:t>
      </w:r>
    </w:p>
    <w:p w:rsidR="00FC2951" w:rsidRDefault="00FC2951" w:rsidP="00FC2951">
      <w:pPr>
        <w:ind w:left="432"/>
        <w:jc w:val="both"/>
        <w:rPr>
          <w:rFonts w:cs="Arial"/>
        </w:rPr>
      </w:pPr>
      <w:r w:rsidRPr="00F661A1">
        <w:rPr>
          <w:rFonts w:cs="Arial"/>
          <w:b/>
        </w:rPr>
        <w:t>Then, but when I been denied</w:t>
      </w:r>
      <w:r>
        <w:rPr>
          <w:rFonts w:cs="Arial"/>
          <w:b/>
        </w:rPr>
        <w:t xml:space="preserve"> [for loans]</w:t>
      </w:r>
      <w:r w:rsidRPr="00F661A1">
        <w:rPr>
          <w:rFonts w:cs="Arial"/>
          <w:b/>
        </w:rPr>
        <w:t>, I have to tell my partner what’s going on.  I been entrusted to handle the job perfect, and I am obligated to report to my partner to anything that happened.</w:t>
      </w:r>
      <w:r w:rsidRPr="00F661A1">
        <w:rPr>
          <w:rFonts w:cs="Arial"/>
        </w:rPr>
        <w:t xml:space="preserve">  I</w:t>
      </w:r>
      <w:r>
        <w:rPr>
          <w:rFonts w:cs="Arial"/>
        </w:rPr>
        <w:t xml:space="preserve"> told my nephews and I told my </w:t>
      </w:r>
      <w:r w:rsidRPr="00F661A1">
        <w:rPr>
          <w:rFonts w:cs="Arial"/>
        </w:rPr>
        <w:t>partner, Hey, I can’t get a loan, but I’m not giving up.</w:t>
      </w:r>
      <w:r>
        <w:rPr>
          <w:rFonts w:cs="Arial"/>
        </w:rPr>
        <w:t xml:space="preserve">  </w:t>
      </w:r>
      <w:r w:rsidRPr="00F661A1">
        <w:rPr>
          <w:rFonts w:cs="Arial"/>
        </w:rPr>
        <w:t>So two, three days later</w:t>
      </w:r>
      <w:r w:rsidRPr="00F661A1">
        <w:rPr>
          <w:rFonts w:cs="Arial"/>
          <w:b/>
        </w:rPr>
        <w:t xml:space="preserve"> my two nephews split, say, We don’t want to be with you no more, and we want our money</w:t>
      </w:r>
      <w:r w:rsidRPr="00F661A1">
        <w:rPr>
          <w:rFonts w:cs="Arial"/>
        </w:rPr>
        <w:t>.  I say I</w:t>
      </w:r>
      <w:r>
        <w:rPr>
          <w:rFonts w:cs="Arial"/>
        </w:rPr>
        <w:t xml:space="preserve"> don’t have no money to pay you</w:t>
      </w:r>
      <w:r w:rsidRPr="00F661A1">
        <w:rPr>
          <w:rFonts w:cs="Arial"/>
        </w:rPr>
        <w:t>.</w:t>
      </w:r>
      <w:r>
        <w:rPr>
          <w:rFonts w:cs="Arial"/>
        </w:rPr>
        <w:t xml:space="preserve"> . . .</w:t>
      </w:r>
    </w:p>
    <w:p w:rsidR="00FC2951" w:rsidRPr="008A6C49" w:rsidRDefault="00FC2951" w:rsidP="00FC2951">
      <w:pPr>
        <w:ind w:left="432" w:right="288"/>
        <w:jc w:val="both"/>
        <w:rPr>
          <w:rFonts w:cs="Arial"/>
          <w:sz w:val="8"/>
          <w:szCs w:val="8"/>
        </w:rPr>
      </w:pPr>
    </w:p>
    <w:p w:rsidR="00FC2951" w:rsidRDefault="00FC2951" w:rsidP="00FC2951">
      <w:pPr>
        <w:ind w:left="432"/>
        <w:jc w:val="both"/>
        <w:rPr>
          <w:rFonts w:cs="Arial"/>
        </w:rPr>
      </w:pPr>
      <w:r w:rsidRPr="00F661A1">
        <w:rPr>
          <w:rFonts w:cs="Arial"/>
        </w:rPr>
        <w:t>We come to an agreement, I pay them 12 percent on their money, and 150,000 default because I don’t fulfill my commitment.  I accepted that.  We wait until my partner, which is my brother, came.  He’s an older man.  And we came</w:t>
      </w:r>
      <w:r w:rsidRPr="00F661A1">
        <w:rPr>
          <w:rFonts w:cs="Arial"/>
          <w:b/>
        </w:rPr>
        <w:t xml:space="preserve"> </w:t>
      </w:r>
      <w:r w:rsidRPr="00F661A1">
        <w:rPr>
          <w:rFonts w:cs="Arial"/>
        </w:rPr>
        <w:t xml:space="preserve">up to Mr. Mohammed Hamed, I say, You want to follow them? He say, Yeah, I will follow them, but do you have any money to give?  </w:t>
      </w:r>
      <w:r w:rsidRPr="009A6E66">
        <w:rPr>
          <w:rFonts w:cs="Arial"/>
          <w:b/>
        </w:rPr>
        <w:t>I say, Look, Mr. Hamed, you know I don’t have no money.</w:t>
      </w:r>
      <w:r w:rsidRPr="00F661A1">
        <w:rPr>
          <w:rFonts w:cs="Arial"/>
        </w:rPr>
        <w:t xml:space="preserve">  It’s in the building, and I put down payment in the refrigeration.  But if you wan</w:t>
      </w:r>
      <w:r>
        <w:rPr>
          <w:rFonts w:cs="Arial"/>
        </w:rPr>
        <w:t xml:space="preserve">t to follow them, if you don’t </w:t>
      </w:r>
      <w:r w:rsidRPr="00F661A1">
        <w:rPr>
          <w:rFonts w:cs="Arial"/>
        </w:rPr>
        <w:t>feel I’m doing the best I c</w:t>
      </w:r>
      <w:r>
        <w:rPr>
          <w:rFonts w:cs="Arial"/>
        </w:rPr>
        <w:t>an, if you want to follow them,</w:t>
      </w:r>
      <w:r w:rsidRPr="00F661A1">
        <w:rPr>
          <w:rFonts w:cs="Arial"/>
        </w:rPr>
        <w:t xml:space="preserve"> you’re free to follow them.  I’ll pay you the same penalty, 75,000. I will give you 12 percent on your 400,000.</w:t>
      </w:r>
    </w:p>
    <w:p w:rsidR="00FC2951" w:rsidRPr="008A6C49" w:rsidRDefault="00FC2951" w:rsidP="00FC2951">
      <w:pPr>
        <w:ind w:left="432"/>
        <w:jc w:val="both"/>
        <w:rPr>
          <w:rFonts w:cs="Arial"/>
          <w:sz w:val="8"/>
          <w:szCs w:val="8"/>
        </w:rPr>
      </w:pPr>
    </w:p>
    <w:p w:rsidR="00FC2951" w:rsidRDefault="00FC2951" w:rsidP="00FC2951">
      <w:pPr>
        <w:ind w:left="432"/>
        <w:jc w:val="both"/>
        <w:rPr>
          <w:rFonts w:cs="Arial"/>
          <w:b/>
        </w:rPr>
      </w:pPr>
      <w:r w:rsidRPr="00B563C0">
        <w:rPr>
          <w:rFonts w:cs="Arial"/>
        </w:rPr>
        <w:t>He says,</w:t>
      </w:r>
      <w:r>
        <w:rPr>
          <w:rFonts w:cs="Arial"/>
        </w:rPr>
        <w:t xml:space="preserve"> </w:t>
      </w:r>
      <w:r w:rsidRPr="00B563C0">
        <w:rPr>
          <w:rFonts w:cs="Arial"/>
        </w:rPr>
        <w:t>Hey.</w:t>
      </w:r>
      <w:r>
        <w:rPr>
          <w:rFonts w:cs="Arial"/>
        </w:rPr>
        <w:t xml:space="preserve"> </w:t>
      </w:r>
      <w:r w:rsidRPr="00B563C0">
        <w:rPr>
          <w:rFonts w:cs="Arial"/>
        </w:rPr>
        <w:t xml:space="preserve">If you don’t have no money, it’s no use for me to split. </w:t>
      </w:r>
      <w:r w:rsidRPr="00F661A1">
        <w:rPr>
          <w:rFonts w:cs="Arial"/>
          <w:b/>
        </w:rPr>
        <w:t xml:space="preserve"> I’m going to stay with you.</w:t>
      </w:r>
    </w:p>
    <w:p w:rsidR="00FC2951" w:rsidRPr="008A6C49" w:rsidRDefault="00FC2951" w:rsidP="00FC2951">
      <w:pPr>
        <w:ind w:left="432"/>
        <w:jc w:val="both"/>
        <w:rPr>
          <w:rFonts w:cs="Arial"/>
          <w:b/>
          <w:sz w:val="8"/>
          <w:szCs w:val="8"/>
        </w:rPr>
      </w:pPr>
    </w:p>
    <w:p w:rsidR="00FC2951" w:rsidRDefault="00FC2951" w:rsidP="00FC2951">
      <w:pPr>
        <w:ind w:left="432"/>
        <w:jc w:val="both"/>
        <w:rPr>
          <w:rFonts w:cs="Arial"/>
          <w:b/>
        </w:rPr>
      </w:pPr>
      <w:r w:rsidRPr="00F661A1">
        <w:rPr>
          <w:rFonts w:cs="Arial"/>
          <w:b/>
        </w:rPr>
        <w:t>All right.  I say, Okay.  You want to stay with me, fine.</w:t>
      </w:r>
      <w:r w:rsidRPr="00F661A1">
        <w:rPr>
          <w:rFonts w:cs="Arial"/>
        </w:rPr>
        <w:t xml:space="preserve">  I am with you, I am willing to mortgage whatever the corporation own.  Corporation o</w:t>
      </w:r>
      <w:r>
        <w:rPr>
          <w:rFonts w:cs="Arial"/>
        </w:rPr>
        <w:t xml:space="preserve">wned by me and my wife at that </w:t>
      </w:r>
      <w:r w:rsidRPr="00F661A1">
        <w:rPr>
          <w:rFonts w:cs="Arial"/>
        </w:rPr>
        <w:t>time.</w:t>
      </w:r>
      <w:r>
        <w:rPr>
          <w:rFonts w:cs="Arial"/>
        </w:rPr>
        <w:t xml:space="preserve"> </w:t>
      </w:r>
      <w:r w:rsidRPr="00F661A1">
        <w:rPr>
          <w:rFonts w:cs="Arial"/>
        </w:rPr>
        <w:t xml:space="preserve"> </w:t>
      </w:r>
      <w:r w:rsidRPr="00F661A1">
        <w:rPr>
          <w:rFonts w:cs="Arial"/>
          <w:b/>
        </w:rPr>
        <w:t xml:space="preserve">And my partner only put in $400,000.  That’s all he put in, </w:t>
      </w:r>
      <w:r w:rsidRPr="00F661A1">
        <w:rPr>
          <w:rFonts w:cs="Arial"/>
          <w:b/>
          <w:u w:val="single"/>
        </w:rPr>
        <w:t>and he will own the supermarket</w:t>
      </w:r>
      <w:r>
        <w:rPr>
          <w:rFonts w:cs="Arial"/>
          <w:b/>
        </w:rPr>
        <w:t xml:space="preserve">.  I have no </w:t>
      </w:r>
      <w:r w:rsidRPr="00F661A1">
        <w:rPr>
          <w:rFonts w:cs="Arial"/>
          <w:b/>
        </w:rPr>
        <w:t>problem.  I told my partner, Look, I’ll take you under one condition.  We will work on this, and I’m obligated to be your partner as long as you want me to be your partner until we lose $800,000.  If I lose 4</w:t>
      </w:r>
      <w:r>
        <w:rPr>
          <w:rFonts w:cs="Arial"/>
          <w:b/>
        </w:rPr>
        <w:t>00,000 to match your 400,000, I</w:t>
      </w:r>
      <w:r w:rsidRPr="00F661A1">
        <w:rPr>
          <w:rFonts w:cs="Arial"/>
          <w:b/>
        </w:rPr>
        <w:t xml:space="preserve"> have all the right to tell you, Hey, we split, and I don’t owe you nothing.</w:t>
      </w:r>
      <w:r>
        <w:rPr>
          <w:rFonts w:cs="Arial"/>
          <w:b/>
        </w:rPr>
        <w:t xml:space="preserve"> </w:t>
      </w:r>
    </w:p>
    <w:p w:rsidR="00FC2951" w:rsidRPr="008A6C49" w:rsidRDefault="00FC2951" w:rsidP="00FC2951">
      <w:pPr>
        <w:ind w:left="432"/>
        <w:jc w:val="both"/>
        <w:rPr>
          <w:rFonts w:cs="Arial"/>
          <w:b/>
          <w:sz w:val="8"/>
          <w:szCs w:val="8"/>
        </w:rPr>
      </w:pPr>
    </w:p>
    <w:p w:rsidR="00FC2951" w:rsidRPr="00C77A1B" w:rsidRDefault="00FC2951" w:rsidP="00FC2951">
      <w:pPr>
        <w:ind w:left="432"/>
        <w:jc w:val="both"/>
        <w:rPr>
          <w:rFonts w:cs="Arial"/>
          <w:b/>
        </w:rPr>
      </w:pPr>
      <w:r w:rsidRPr="00F661A1">
        <w:rPr>
          <w:rFonts w:cs="Arial"/>
        </w:rPr>
        <w:t xml:space="preserve">They say, Mr. Yusuf, we knows each other.  I trust you.  I keep going.  </w:t>
      </w:r>
      <w:r w:rsidRPr="009A6E66">
        <w:rPr>
          <w:rFonts w:cs="Arial"/>
        </w:rPr>
        <w:t xml:space="preserve">Okay.  Now, I told him about the two partner left, </w:t>
      </w:r>
      <w:r w:rsidRPr="00F661A1">
        <w:rPr>
          <w:rFonts w:cs="Arial"/>
          <w:b/>
        </w:rPr>
        <w:t xml:space="preserve">Mr. Hamed.  You know, these two guys, they left, my two nephew, they was your partner and my partner.  I give you a choice.  If you pay penalty with me and pay the interest with me, </w:t>
      </w:r>
      <w:r w:rsidRPr="00BF3F48">
        <w:rPr>
          <w:rFonts w:cs="Arial"/>
          <w:b/>
          <w:u w:val="single"/>
        </w:rPr>
        <w:t>whatever they left is for me and you</w:t>
      </w:r>
      <w:r w:rsidRPr="00F661A1">
        <w:rPr>
          <w:rFonts w:cs="Arial"/>
          <w:b/>
        </w:rPr>
        <w:t>.</w:t>
      </w:r>
      <w:r w:rsidRPr="00F661A1">
        <w:rPr>
          <w:rFonts w:cs="Arial"/>
        </w:rPr>
        <w:t xml:space="preserve">  But if I must pay them the one-fifty penalty and pay them 12 </w:t>
      </w:r>
      <w:r w:rsidRPr="00F661A1">
        <w:rPr>
          <w:rFonts w:cs="Arial"/>
        </w:rPr>
        <w:lastRenderedPageBreak/>
        <w:t xml:space="preserve">percent, </w:t>
      </w:r>
      <w:r w:rsidRPr="00CD4770">
        <w:rPr>
          <w:rFonts w:cs="Arial"/>
          <w:b/>
        </w:rPr>
        <w:t>then Plaza Extra Supermarket will stay three-quarter for Yusuf and only one-quarter for you</w:t>
      </w:r>
      <w:r w:rsidRPr="00F661A1">
        <w:rPr>
          <w:rFonts w:cs="Arial"/>
        </w:rPr>
        <w:t>.</w:t>
      </w:r>
    </w:p>
    <w:p w:rsidR="00FC2951" w:rsidRPr="008A6C49" w:rsidRDefault="00FC2951" w:rsidP="00FC2951">
      <w:pPr>
        <w:ind w:left="288"/>
        <w:rPr>
          <w:rFonts w:cs="Arial"/>
          <w:sz w:val="8"/>
          <w:szCs w:val="8"/>
        </w:rPr>
      </w:pPr>
    </w:p>
    <w:p w:rsidR="00FC2951" w:rsidRPr="00F661A1" w:rsidRDefault="00FC2951" w:rsidP="00FC2951">
      <w:pPr>
        <w:ind w:left="432"/>
        <w:rPr>
          <w:rFonts w:cs="Arial"/>
        </w:rPr>
      </w:pPr>
      <w:r w:rsidRPr="00B563C0">
        <w:rPr>
          <w:rFonts w:cs="Arial"/>
        </w:rPr>
        <w:t xml:space="preserve">He says, Do whatever you think is right. </w:t>
      </w:r>
      <w:r w:rsidRPr="00F661A1">
        <w:rPr>
          <w:rFonts w:cs="Arial"/>
          <w:b/>
        </w:rPr>
        <w:t xml:space="preserve"> </w:t>
      </w:r>
      <w:r w:rsidRPr="00F661A1">
        <w:rPr>
          <w:rFonts w:cs="Arial"/>
          <w:b/>
          <w:i/>
          <w:u w:val="single"/>
        </w:rPr>
        <w:t>I  tell him, You want my advice?  I be honest with you.  You better off take 50 percent.  So he took the 50 percent</w:t>
      </w:r>
      <w:r w:rsidRPr="008A6C49">
        <w:rPr>
          <w:rFonts w:cs="Arial"/>
          <w:b/>
          <w:i/>
        </w:rPr>
        <w:t xml:space="preserve">. </w:t>
      </w:r>
    </w:p>
    <w:p w:rsidR="00FC2951" w:rsidRDefault="00FC2951" w:rsidP="00FC2951">
      <w:pPr>
        <w:ind w:right="720"/>
        <w:jc w:val="both"/>
        <w:rPr>
          <w:rFonts w:cs="Arial"/>
        </w:rPr>
      </w:pPr>
    </w:p>
    <w:p w:rsidR="00FC2951" w:rsidRDefault="00FC2951" w:rsidP="00FC2951">
      <w:pPr>
        <w:ind w:right="720"/>
        <w:jc w:val="both"/>
        <w:rPr>
          <w:rFonts w:cs="Arial"/>
        </w:rPr>
      </w:pPr>
      <w:r>
        <w:rPr>
          <w:rFonts w:cs="Arial"/>
        </w:rPr>
        <w:t>Yusuf concluded this testimony stating (</w:t>
      </w:r>
      <w:r w:rsidRPr="004F12BF">
        <w:rPr>
          <w:rFonts w:cs="Arial"/>
          <w:b/>
        </w:rPr>
        <w:t>Exhibit</w:t>
      </w:r>
      <w:r>
        <w:rPr>
          <w:rFonts w:cs="Arial"/>
        </w:rPr>
        <w:t xml:space="preserve"> </w:t>
      </w:r>
      <w:r w:rsidR="006F45F9">
        <w:rPr>
          <w:rFonts w:cs="Arial"/>
          <w:b/>
        </w:rPr>
        <w:t>1</w:t>
      </w:r>
      <w:r>
        <w:rPr>
          <w:rFonts w:cs="Arial"/>
        </w:rPr>
        <w:t xml:space="preserve"> at p. 20</w:t>
      </w:r>
      <w:r w:rsidR="00A2339D">
        <w:rPr>
          <w:rFonts w:cs="Arial"/>
        </w:rPr>
        <w:t>:10-12</w:t>
      </w:r>
      <w:r>
        <w:rPr>
          <w:rFonts w:cs="Arial"/>
        </w:rPr>
        <w:t>)</w:t>
      </w:r>
      <w:r w:rsidR="00F667A4">
        <w:rPr>
          <w:rFonts w:cs="Arial"/>
        </w:rPr>
        <w:t xml:space="preserve"> </w:t>
      </w:r>
      <w:r>
        <w:rPr>
          <w:rFonts w:cs="Arial"/>
        </w:rPr>
        <w:t>(</w:t>
      </w:r>
      <w:r w:rsidR="00F667A4">
        <w:rPr>
          <w:rFonts w:cs="Arial"/>
        </w:rPr>
        <w:t>e</w:t>
      </w:r>
      <w:r>
        <w:rPr>
          <w:rFonts w:cs="Arial"/>
        </w:rPr>
        <w:t>mphasis added):</w:t>
      </w:r>
    </w:p>
    <w:p w:rsidR="00FC2951" w:rsidRPr="00F661A1" w:rsidRDefault="00FC2951" w:rsidP="00FC2951">
      <w:pPr>
        <w:ind w:right="720"/>
        <w:rPr>
          <w:rFonts w:cs="Arial"/>
        </w:rPr>
      </w:pPr>
    </w:p>
    <w:p w:rsidR="00FC2951" w:rsidRDefault="00FC2951" w:rsidP="00FC2951">
      <w:pPr>
        <w:ind w:left="432"/>
        <w:jc w:val="both"/>
        <w:rPr>
          <w:rFonts w:cs="Arial"/>
          <w:b/>
          <w:i/>
        </w:rPr>
      </w:pPr>
      <w:r w:rsidRPr="00B563C0">
        <w:rPr>
          <w:rFonts w:cs="Arial"/>
          <w:i/>
          <w:u w:val="single"/>
        </w:rPr>
        <w:t xml:space="preserve">Every single Arab in the Virgin Islands knew </w:t>
      </w:r>
      <w:r w:rsidRPr="00F661A1">
        <w:rPr>
          <w:rFonts w:cs="Arial"/>
          <w:b/>
          <w:i/>
          <w:u w:val="single"/>
        </w:rPr>
        <w:t>that Mr. Mohammed Hamed is my partner, way before Plaza Extra was opened</w:t>
      </w:r>
      <w:r w:rsidRPr="008A6C49">
        <w:rPr>
          <w:rFonts w:cs="Arial"/>
          <w:b/>
          <w:i/>
        </w:rPr>
        <w:t>.</w:t>
      </w:r>
    </w:p>
    <w:p w:rsidR="00FC2951" w:rsidRPr="00F661A1" w:rsidRDefault="00FC2951" w:rsidP="00FC2951">
      <w:pPr>
        <w:ind w:left="720"/>
        <w:jc w:val="both"/>
        <w:rPr>
          <w:rFonts w:cs="Arial"/>
          <w:b/>
          <w:i/>
          <w:u w:val="single"/>
        </w:rPr>
      </w:pPr>
    </w:p>
    <w:p w:rsidR="00DA3B23" w:rsidRDefault="00FC2951" w:rsidP="00FC2951">
      <w:pPr>
        <w:spacing w:line="480" w:lineRule="auto"/>
        <w:jc w:val="both"/>
        <w:rPr>
          <w:rFonts w:cs="Arial"/>
        </w:rPr>
      </w:pPr>
      <w:r>
        <w:rPr>
          <w:rFonts w:cs="Arial"/>
        </w:rPr>
        <w:t>Thus, this sworn testimony</w:t>
      </w:r>
      <w:r w:rsidR="00C430A2">
        <w:rPr>
          <w:rFonts w:cs="Arial"/>
        </w:rPr>
        <w:t xml:space="preserve">, which </w:t>
      </w:r>
      <w:r w:rsidR="006F45F9">
        <w:rPr>
          <w:rFonts w:cs="Arial"/>
        </w:rPr>
        <w:t>was incorporated into the amended complaint</w:t>
      </w:r>
      <w:r>
        <w:rPr>
          <w:rFonts w:cs="Arial"/>
        </w:rPr>
        <w:t xml:space="preserve">, </w:t>
      </w:r>
      <w:r w:rsidR="0064791A">
        <w:rPr>
          <w:rFonts w:cs="Arial"/>
        </w:rPr>
        <w:t xml:space="preserve">is an </w:t>
      </w:r>
      <w:r w:rsidR="00480DFD">
        <w:rPr>
          <w:rFonts w:cs="Arial"/>
        </w:rPr>
        <w:t>admission against interest</w:t>
      </w:r>
      <w:r w:rsidR="0064791A">
        <w:rPr>
          <w:rFonts w:cs="Arial"/>
        </w:rPr>
        <w:t xml:space="preserve"> as to </w:t>
      </w:r>
      <w:r>
        <w:rPr>
          <w:rFonts w:cs="Arial"/>
        </w:rPr>
        <w:t xml:space="preserve">how this 50/50 partnership was </w:t>
      </w:r>
      <w:r w:rsidR="0064791A">
        <w:rPr>
          <w:rFonts w:cs="Arial"/>
        </w:rPr>
        <w:t>established</w:t>
      </w:r>
      <w:r>
        <w:rPr>
          <w:rFonts w:cs="Arial"/>
        </w:rPr>
        <w:t xml:space="preserve"> between Yusuf and Mohammad Hamed</w:t>
      </w:r>
      <w:r w:rsidR="0064791A">
        <w:rPr>
          <w:rFonts w:cs="Arial"/>
        </w:rPr>
        <w:t xml:space="preserve"> -- and its terms.</w:t>
      </w:r>
      <w:r>
        <w:rPr>
          <w:rFonts w:cs="Arial"/>
        </w:rPr>
        <w:t xml:space="preserve"> </w:t>
      </w:r>
    </w:p>
    <w:p w:rsidR="007C063F" w:rsidRDefault="0031292A" w:rsidP="00DA3B23">
      <w:pPr>
        <w:spacing w:line="480" w:lineRule="auto"/>
        <w:ind w:firstLine="720"/>
        <w:jc w:val="both"/>
        <w:rPr>
          <w:rFonts w:cs="Arial"/>
          <w:bCs/>
          <w:color w:val="000000" w:themeColor="text1"/>
        </w:rPr>
      </w:pPr>
      <w:r>
        <w:rPr>
          <w:rFonts w:cs="Arial"/>
          <w:bCs/>
          <w:color w:val="000000" w:themeColor="text1"/>
        </w:rPr>
        <w:t>In short, Count I sets forth a cause of action and then pleads sufficient facts to support the requested relief if proven at trial, based on the allegations contained in the amended complaint and the exhibits attached thereto.</w:t>
      </w:r>
      <w:r w:rsidR="00DA3B23">
        <w:rPr>
          <w:rFonts w:cs="Arial"/>
          <w:bCs/>
          <w:color w:val="000000" w:themeColor="text1"/>
        </w:rPr>
        <w:t xml:space="preserve"> </w:t>
      </w:r>
    </w:p>
    <w:p w:rsidR="0031292A" w:rsidRDefault="0031292A" w:rsidP="007C063F">
      <w:pPr>
        <w:spacing w:line="480" w:lineRule="auto"/>
        <w:ind w:firstLine="720"/>
        <w:jc w:val="both"/>
        <w:rPr>
          <w:rFonts w:cs="Arial"/>
          <w:bCs/>
          <w:color w:val="000000" w:themeColor="text1"/>
        </w:rPr>
      </w:pPr>
      <w:r>
        <w:rPr>
          <w:rFonts w:cs="Arial"/>
          <w:bCs/>
          <w:color w:val="000000" w:themeColor="text1"/>
        </w:rPr>
        <w:t>Once a partnership is established under Count I, the Rule 12(b)(6) analysis for Count II becomes simple</w:t>
      </w:r>
      <w:r w:rsidR="0064791A">
        <w:rPr>
          <w:rFonts w:cs="Arial"/>
          <w:bCs/>
          <w:color w:val="000000" w:themeColor="text1"/>
        </w:rPr>
        <w:t xml:space="preserve">.  </w:t>
      </w:r>
      <w:r>
        <w:rPr>
          <w:rFonts w:cs="Arial"/>
          <w:bCs/>
          <w:color w:val="000000" w:themeColor="text1"/>
        </w:rPr>
        <w:t>Count II</w:t>
      </w:r>
      <w:r w:rsidR="00DA3B23">
        <w:rPr>
          <w:rFonts w:cs="Arial"/>
          <w:bCs/>
          <w:color w:val="000000" w:themeColor="text1"/>
        </w:rPr>
        <w:t xml:space="preserve"> </w:t>
      </w:r>
      <w:r w:rsidR="002B02CD">
        <w:rPr>
          <w:rFonts w:cs="Arial"/>
          <w:bCs/>
          <w:color w:val="000000" w:themeColor="text1"/>
        </w:rPr>
        <w:t>merely seeks</w:t>
      </w:r>
      <w:r w:rsidR="00DA3B23">
        <w:rPr>
          <w:rFonts w:cs="Arial"/>
          <w:bCs/>
          <w:color w:val="000000" w:themeColor="text1"/>
        </w:rPr>
        <w:t xml:space="preserve"> additional relief under </w:t>
      </w:r>
      <w:r w:rsidR="007C063F">
        <w:rPr>
          <w:rFonts w:cs="Arial"/>
          <w:bCs/>
          <w:color w:val="000000" w:themeColor="text1"/>
        </w:rPr>
        <w:t>26 V.I.C. §121(5)</w:t>
      </w:r>
      <w:r w:rsidR="00DA3B23">
        <w:rPr>
          <w:rFonts w:cs="Arial"/>
          <w:bCs/>
          <w:color w:val="000000" w:themeColor="text1"/>
        </w:rPr>
        <w:t xml:space="preserve"> </w:t>
      </w:r>
      <w:r w:rsidR="002B02CD">
        <w:rPr>
          <w:rFonts w:cs="Arial"/>
          <w:bCs/>
          <w:color w:val="000000" w:themeColor="text1"/>
        </w:rPr>
        <w:t xml:space="preserve">-- </w:t>
      </w:r>
      <w:r>
        <w:rPr>
          <w:rFonts w:cs="Arial"/>
          <w:bCs/>
          <w:color w:val="000000" w:themeColor="text1"/>
        </w:rPr>
        <w:t>to terminate the partnership</w:t>
      </w:r>
      <w:r w:rsidR="002B02CD">
        <w:rPr>
          <w:rFonts w:cs="Arial"/>
          <w:bCs/>
          <w:color w:val="000000" w:themeColor="text1"/>
        </w:rPr>
        <w:t>, pay out Yusuf for his interest</w:t>
      </w:r>
      <w:r>
        <w:rPr>
          <w:rFonts w:cs="Arial"/>
          <w:bCs/>
          <w:color w:val="000000" w:themeColor="text1"/>
        </w:rPr>
        <w:t xml:space="preserve"> and allow the plaintiff to continue operating the three Plaza stores without </w:t>
      </w:r>
      <w:r w:rsidR="002B02CD">
        <w:rPr>
          <w:rFonts w:cs="Arial"/>
          <w:bCs/>
          <w:color w:val="000000" w:themeColor="text1"/>
        </w:rPr>
        <w:t>him</w:t>
      </w:r>
      <w:r>
        <w:rPr>
          <w:rFonts w:cs="Arial"/>
          <w:bCs/>
          <w:color w:val="000000" w:themeColor="text1"/>
        </w:rPr>
        <w:t xml:space="preserve">. </w:t>
      </w:r>
      <w:r w:rsidR="00A7458F">
        <w:rPr>
          <w:rFonts w:cs="Arial"/>
          <w:bCs/>
          <w:color w:val="000000" w:themeColor="text1"/>
        </w:rPr>
        <w:t xml:space="preserve"> </w:t>
      </w:r>
      <w:r>
        <w:rPr>
          <w:rFonts w:cs="Arial"/>
          <w:bCs/>
          <w:color w:val="000000" w:themeColor="text1"/>
        </w:rPr>
        <w:t xml:space="preserve">To obtain such relief, the plaintiff need only prove sufficient facts to satisfy </w:t>
      </w:r>
      <w:r w:rsidR="007C063F">
        <w:rPr>
          <w:rFonts w:cs="Arial"/>
          <w:bCs/>
          <w:color w:val="000000" w:themeColor="text1"/>
        </w:rPr>
        <w:t>one</w:t>
      </w:r>
      <w:r w:rsidR="008D13C2">
        <w:rPr>
          <w:rFonts w:cs="Arial"/>
          <w:bCs/>
          <w:color w:val="000000" w:themeColor="text1"/>
        </w:rPr>
        <w:t xml:space="preserve"> of the elements of §121(5)</w:t>
      </w:r>
      <w:r w:rsidR="007C063F">
        <w:rPr>
          <w:rFonts w:cs="Arial"/>
          <w:bCs/>
          <w:color w:val="000000" w:themeColor="text1"/>
        </w:rPr>
        <w:t>, which allows a partner to have another partner removed upon a showing that the partner being removed has engaged in wrongful conduct that has materially affected the partnership or to make it no longer reasonably practicable to carry on the partnership business.</w:t>
      </w:r>
      <w:r>
        <w:rPr>
          <w:rFonts w:cs="Arial"/>
          <w:bCs/>
          <w:color w:val="000000" w:themeColor="text1"/>
        </w:rPr>
        <w:t xml:space="preserve"> </w:t>
      </w:r>
    </w:p>
    <w:p w:rsidR="0031292A" w:rsidRDefault="00A4370A" w:rsidP="007C063F">
      <w:pPr>
        <w:spacing w:line="480" w:lineRule="auto"/>
        <w:ind w:firstLine="720"/>
        <w:jc w:val="both"/>
        <w:rPr>
          <w:rFonts w:cs="Arial"/>
          <w:bCs/>
          <w:color w:val="000000" w:themeColor="text1"/>
        </w:rPr>
      </w:pPr>
      <w:r>
        <w:rPr>
          <w:rFonts w:cs="Arial"/>
          <w:bCs/>
          <w:color w:val="000000" w:themeColor="text1"/>
        </w:rPr>
        <w:t>T</w:t>
      </w:r>
      <w:r w:rsidR="002B02CD">
        <w:rPr>
          <w:rFonts w:cs="Arial"/>
          <w:bCs/>
          <w:color w:val="000000" w:themeColor="text1"/>
        </w:rPr>
        <w:t xml:space="preserve">o </w:t>
      </w:r>
      <w:r w:rsidR="0031292A">
        <w:rPr>
          <w:rFonts w:cs="Arial"/>
          <w:bCs/>
          <w:color w:val="000000" w:themeColor="text1"/>
        </w:rPr>
        <w:t xml:space="preserve">defeat </w:t>
      </w:r>
      <w:r w:rsidR="0048746C">
        <w:rPr>
          <w:rFonts w:cs="Arial"/>
          <w:bCs/>
          <w:color w:val="000000" w:themeColor="text1"/>
        </w:rPr>
        <w:t>defendants</w:t>
      </w:r>
      <w:r w:rsidR="0031292A">
        <w:rPr>
          <w:rFonts w:cs="Arial"/>
          <w:bCs/>
          <w:color w:val="000000" w:themeColor="text1"/>
        </w:rPr>
        <w:t>’ Rule 12(b)(6) motion, the plaintiff need only plead facts which would support such relief if proven</w:t>
      </w:r>
      <w:r w:rsidR="008D13C2">
        <w:rPr>
          <w:rFonts w:cs="Arial"/>
          <w:bCs/>
          <w:color w:val="000000" w:themeColor="text1"/>
        </w:rPr>
        <w:t xml:space="preserve">, which </w:t>
      </w:r>
      <w:r w:rsidR="0031292A">
        <w:rPr>
          <w:rFonts w:cs="Arial"/>
          <w:bCs/>
          <w:color w:val="000000" w:themeColor="text1"/>
        </w:rPr>
        <w:t>the amended complaint</w:t>
      </w:r>
      <w:r w:rsidR="008D13C2">
        <w:rPr>
          <w:rFonts w:cs="Arial"/>
          <w:bCs/>
          <w:color w:val="000000" w:themeColor="text1"/>
        </w:rPr>
        <w:t xml:space="preserve"> contains</w:t>
      </w:r>
      <w:r w:rsidR="0031292A">
        <w:rPr>
          <w:rFonts w:cs="Arial"/>
          <w:bCs/>
          <w:color w:val="000000" w:themeColor="text1"/>
        </w:rPr>
        <w:t>:</w:t>
      </w:r>
    </w:p>
    <w:p w:rsidR="00DA2EB8" w:rsidRPr="00DA2EB8" w:rsidRDefault="00DA2EB8" w:rsidP="00EC16E7">
      <w:pPr>
        <w:pStyle w:val="ListParagraph"/>
        <w:numPr>
          <w:ilvl w:val="0"/>
          <w:numId w:val="14"/>
        </w:numPr>
        <w:autoSpaceDE w:val="0"/>
        <w:autoSpaceDN w:val="0"/>
        <w:adjustRightInd w:val="0"/>
        <w:spacing w:after="120"/>
        <w:jc w:val="both"/>
        <w:rPr>
          <w:rFonts w:cs="Arial"/>
        </w:rPr>
      </w:pPr>
      <w:r w:rsidRPr="00DA2EB8">
        <w:rPr>
          <w:rFonts w:cs="Arial"/>
        </w:rPr>
        <w:t>Notwithstanding this fact,</w:t>
      </w:r>
      <w:r w:rsidRPr="00DA2EB8">
        <w:rPr>
          <w:rFonts w:cs="Arial"/>
          <w:b/>
        </w:rPr>
        <w:t xml:space="preserve"> </w:t>
      </w:r>
      <w:r w:rsidRPr="00DA2EB8">
        <w:rPr>
          <w:rFonts w:cs="Arial"/>
        </w:rPr>
        <w:t xml:space="preserve">Yusuf has engaged in and continues to engage in numerous acts in breach of his obligations and duties as a partner in his partnership with Hamed, all of which are designed to undermine the </w:t>
      </w:r>
      <w:r w:rsidRPr="00DA2EB8">
        <w:rPr>
          <w:rFonts w:cs="Arial"/>
        </w:rPr>
        <w:lastRenderedPageBreak/>
        <w:t>Partnership’s operations and success, including but not limited to the following acts:</w:t>
      </w:r>
    </w:p>
    <w:p w:rsidR="00DA2EB8" w:rsidRDefault="00DA2EB8" w:rsidP="00DA2EB8">
      <w:pPr>
        <w:numPr>
          <w:ilvl w:val="0"/>
          <w:numId w:val="13"/>
        </w:numPr>
        <w:autoSpaceDE w:val="0"/>
        <w:autoSpaceDN w:val="0"/>
        <w:adjustRightInd w:val="0"/>
        <w:jc w:val="both"/>
        <w:rPr>
          <w:rFonts w:cs="Arial"/>
        </w:rPr>
      </w:pPr>
      <w:r>
        <w:rPr>
          <w:rFonts w:cs="Arial"/>
        </w:rPr>
        <w:t>Threatening to terminate the Hamed family employees in the three Plaza Extra stores;</w:t>
      </w:r>
    </w:p>
    <w:p w:rsidR="00DA2EB8" w:rsidRDefault="00DA2EB8" w:rsidP="00DA2EB8">
      <w:pPr>
        <w:numPr>
          <w:ilvl w:val="0"/>
          <w:numId w:val="13"/>
        </w:numPr>
        <w:autoSpaceDE w:val="0"/>
        <w:autoSpaceDN w:val="0"/>
        <w:adjustRightInd w:val="0"/>
        <w:jc w:val="both"/>
        <w:rPr>
          <w:rFonts w:cs="Arial"/>
        </w:rPr>
      </w:pPr>
      <w:r>
        <w:rPr>
          <w:rFonts w:cs="Arial"/>
        </w:rPr>
        <w:t>Threatening immediate eviction of the Partnership and the Plaza Extra supermarket from the United shopping center on the east side of St. Croix</w:t>
      </w:r>
      <w:r w:rsidR="00AA69E3">
        <w:rPr>
          <w:rFonts w:cs="Arial"/>
        </w:rPr>
        <w:t>. . .</w:t>
      </w:r>
      <w:r>
        <w:rPr>
          <w:rFonts w:cs="Arial"/>
        </w:rPr>
        <w:t>which would close the stores -- including the threat of using illegal self-help to immediately remove the Partnership’s supermarket from the premises in violation of the law prohibiting a landlord from using self help to try to remove a tenant;</w:t>
      </w:r>
    </w:p>
    <w:p w:rsidR="00DA2EB8" w:rsidRDefault="00DA2EB8" w:rsidP="00DA2EB8">
      <w:pPr>
        <w:numPr>
          <w:ilvl w:val="0"/>
          <w:numId w:val="13"/>
        </w:numPr>
        <w:autoSpaceDE w:val="0"/>
        <w:autoSpaceDN w:val="0"/>
        <w:adjustRightInd w:val="0"/>
        <w:jc w:val="both"/>
        <w:rPr>
          <w:rFonts w:cs="Arial"/>
        </w:rPr>
      </w:pPr>
      <w:r>
        <w:rPr>
          <w:rFonts w:cs="Arial"/>
        </w:rPr>
        <w:t>Attempting to have United impose excessive rent obligations on this store inconsistent with all other leases</w:t>
      </w:r>
      <w:r w:rsidR="00AA69E3">
        <w:rPr>
          <w:rFonts w:cs="Arial"/>
        </w:rPr>
        <w:t>. . .</w:t>
      </w:r>
      <w:r>
        <w:rPr>
          <w:rFonts w:cs="Arial"/>
        </w:rPr>
        <w:t xml:space="preserve"> to try to close down the Sion store;</w:t>
      </w:r>
    </w:p>
    <w:p w:rsidR="00DA2EB8" w:rsidRDefault="00DA2EB8" w:rsidP="00DA2EB8">
      <w:pPr>
        <w:numPr>
          <w:ilvl w:val="0"/>
          <w:numId w:val="13"/>
        </w:numPr>
        <w:autoSpaceDE w:val="0"/>
        <w:autoSpaceDN w:val="0"/>
        <w:adjustRightInd w:val="0"/>
        <w:jc w:val="both"/>
        <w:rPr>
          <w:rFonts w:cs="Arial"/>
        </w:rPr>
      </w:pPr>
      <w:r>
        <w:rPr>
          <w:rFonts w:cs="Arial"/>
        </w:rPr>
        <w:t>Failing to recognize the Partnership</w:t>
      </w:r>
      <w:r w:rsidR="00071DFF">
        <w:rPr>
          <w:rFonts w:cs="Arial"/>
        </w:rPr>
        <w:t>’</w:t>
      </w:r>
      <w:r>
        <w:rPr>
          <w:rFonts w:cs="Arial"/>
        </w:rPr>
        <w:t>s rights in the premises where its Plaza Extra store in the United Shopping Center is located, as the store was damaged by fire in 1992 and was rebuilt entirely with insurance funds from the Plaza Extra supermarket and not from United, including using said Partnership funds for the purchase of additional adjacent land for use by the supermarket (which is, unlike the rest of the shopping plaza, a Partnership asset);</w:t>
      </w:r>
    </w:p>
    <w:p w:rsidR="00DA2EB8" w:rsidRDefault="00DA2EB8" w:rsidP="00DA2EB8">
      <w:pPr>
        <w:numPr>
          <w:ilvl w:val="0"/>
          <w:numId w:val="13"/>
        </w:numPr>
        <w:autoSpaceDE w:val="0"/>
        <w:autoSpaceDN w:val="0"/>
        <w:adjustRightInd w:val="0"/>
        <w:jc w:val="both"/>
        <w:rPr>
          <w:rFonts w:cs="Arial"/>
        </w:rPr>
      </w:pPr>
      <w:r>
        <w:rPr>
          <w:rFonts w:cs="Arial"/>
        </w:rPr>
        <w:t>Attempting to verbally discredit the operations of the Partnership;</w:t>
      </w:r>
    </w:p>
    <w:p w:rsidR="00DA2EB8" w:rsidRDefault="00DA2EB8" w:rsidP="00DA2EB8">
      <w:pPr>
        <w:numPr>
          <w:ilvl w:val="0"/>
          <w:numId w:val="13"/>
        </w:numPr>
        <w:autoSpaceDE w:val="0"/>
        <w:autoSpaceDN w:val="0"/>
        <w:adjustRightInd w:val="0"/>
        <w:jc w:val="both"/>
        <w:rPr>
          <w:rFonts w:cs="Arial"/>
        </w:rPr>
      </w:pPr>
      <w:r>
        <w:rPr>
          <w:rFonts w:cs="Arial"/>
        </w:rPr>
        <w:t>Attempting to unilaterally change how the stores have operated by threatening to impose new and unilateral restrictions on the operations of these three stores, all of which are aimed at undermining Hamed’s partnership interest in the three stores.</w:t>
      </w:r>
    </w:p>
    <w:p w:rsidR="00DA2EB8" w:rsidRDefault="00DA2EB8" w:rsidP="00DA2EB8">
      <w:pPr>
        <w:numPr>
          <w:ilvl w:val="0"/>
          <w:numId w:val="13"/>
        </w:numPr>
        <w:autoSpaceDE w:val="0"/>
        <w:autoSpaceDN w:val="0"/>
        <w:adjustRightInd w:val="0"/>
        <w:jc w:val="both"/>
        <w:rPr>
          <w:rFonts w:cs="Arial"/>
        </w:rPr>
      </w:pPr>
      <w:r>
        <w:rPr>
          <w:rFonts w:cs="Arial"/>
        </w:rPr>
        <w:t xml:space="preserve">Refusing to pay valid obligations owed by the Partnership in an effort to undermine the Partnership’s operations; </w:t>
      </w:r>
    </w:p>
    <w:p w:rsidR="00DA2EB8" w:rsidRDefault="00DA2EB8" w:rsidP="00DA2EB8">
      <w:pPr>
        <w:numPr>
          <w:ilvl w:val="0"/>
          <w:numId w:val="13"/>
        </w:numPr>
        <w:autoSpaceDE w:val="0"/>
        <w:autoSpaceDN w:val="0"/>
        <w:adjustRightInd w:val="0"/>
        <w:jc w:val="both"/>
        <w:rPr>
          <w:rFonts w:cs="Arial"/>
        </w:rPr>
      </w:pPr>
      <w:r>
        <w:rPr>
          <w:rFonts w:cs="Arial"/>
        </w:rPr>
        <w:t>Threatening to close down the Plaza Supermarkets;</w:t>
      </w:r>
    </w:p>
    <w:p w:rsidR="00DA2EB8" w:rsidRDefault="00DA2EB8" w:rsidP="00DA2EB8">
      <w:pPr>
        <w:numPr>
          <w:ilvl w:val="0"/>
          <w:numId w:val="13"/>
        </w:numPr>
        <w:autoSpaceDE w:val="0"/>
        <w:autoSpaceDN w:val="0"/>
        <w:adjustRightInd w:val="0"/>
        <w:jc w:val="both"/>
        <w:rPr>
          <w:rFonts w:cs="Arial"/>
        </w:rPr>
      </w:pPr>
      <w:r>
        <w:rPr>
          <w:rFonts w:cs="Arial"/>
        </w:rPr>
        <w:t>Threatening the Hamed family members working in the Plaza supermarkets with physical harm, trying to intimidate them into leaving the stores;</w:t>
      </w:r>
    </w:p>
    <w:p w:rsidR="00DA2EB8" w:rsidRDefault="00DA2EB8" w:rsidP="00DA2EB8">
      <w:pPr>
        <w:numPr>
          <w:ilvl w:val="0"/>
          <w:numId w:val="13"/>
        </w:numPr>
        <w:autoSpaceDE w:val="0"/>
        <w:autoSpaceDN w:val="0"/>
        <w:adjustRightInd w:val="0"/>
        <w:jc w:val="both"/>
        <w:rPr>
          <w:rFonts w:cs="Arial"/>
        </w:rPr>
      </w:pPr>
      <w:r>
        <w:rPr>
          <w:rFonts w:cs="Arial"/>
        </w:rPr>
        <w:t xml:space="preserve">Giving false information to third parties, including suppliers of the three Plaza Supermarkets, regarding its future operations -- jeopardizing the good will of the Three Plaza supermarkets; </w:t>
      </w:r>
    </w:p>
    <w:p w:rsidR="00DA2EB8" w:rsidRDefault="00DA2EB8" w:rsidP="00DA2EB8">
      <w:pPr>
        <w:numPr>
          <w:ilvl w:val="0"/>
          <w:numId w:val="13"/>
        </w:numPr>
        <w:autoSpaceDE w:val="0"/>
        <w:autoSpaceDN w:val="0"/>
        <w:adjustRightInd w:val="0"/>
        <w:jc w:val="both"/>
        <w:rPr>
          <w:rFonts w:cs="Arial"/>
        </w:rPr>
      </w:pPr>
      <w:r>
        <w:rPr>
          <w:rFonts w:cs="Arial"/>
        </w:rPr>
        <w:t>Unilaterally canceling orders placed with vendors and not ordering new inventory for the three Plaza supermarkets; and</w:t>
      </w:r>
    </w:p>
    <w:p w:rsidR="00DA2EB8" w:rsidRDefault="00DA2EB8" w:rsidP="00EC16E7">
      <w:pPr>
        <w:numPr>
          <w:ilvl w:val="0"/>
          <w:numId w:val="13"/>
        </w:numPr>
        <w:autoSpaceDE w:val="0"/>
        <w:autoSpaceDN w:val="0"/>
        <w:adjustRightInd w:val="0"/>
        <w:spacing w:after="120"/>
        <w:jc w:val="both"/>
        <w:rPr>
          <w:rFonts w:cs="Arial"/>
        </w:rPr>
      </w:pPr>
      <w:r>
        <w:rPr>
          <w:rFonts w:cs="Arial"/>
        </w:rPr>
        <w:t>Spending funds from the bank accounts of the three Plaza supermarkets to support his other personal business interests unrelated to the three Plaza supermarkets.</w:t>
      </w:r>
    </w:p>
    <w:p w:rsidR="00DA2EB8" w:rsidRDefault="00DA2EB8" w:rsidP="00EC16E7">
      <w:pPr>
        <w:pStyle w:val="ListParagraph"/>
        <w:numPr>
          <w:ilvl w:val="0"/>
          <w:numId w:val="14"/>
        </w:numPr>
        <w:autoSpaceDE w:val="0"/>
        <w:autoSpaceDN w:val="0"/>
        <w:adjustRightInd w:val="0"/>
        <w:spacing w:after="120"/>
        <w:jc w:val="both"/>
        <w:rPr>
          <w:rFonts w:cs="Arial"/>
        </w:rPr>
      </w:pPr>
      <w:r w:rsidRPr="00DA2EB8">
        <w:rPr>
          <w:rFonts w:cs="Arial"/>
        </w:rPr>
        <w:t xml:space="preserve">On or about August 20, 2012, Yusuf unilaterally and wrongfully converted $2.7 million from Plaza Extra </w:t>
      </w:r>
      <w:r w:rsidR="000946A9">
        <w:rPr>
          <w:rFonts w:cs="Arial"/>
        </w:rPr>
        <w:t>“</w:t>
      </w:r>
      <w:r w:rsidRPr="00DA2EB8">
        <w:rPr>
          <w:rFonts w:cs="Arial"/>
        </w:rPr>
        <w:t>supermarket accounts</w:t>
      </w:r>
      <w:r w:rsidR="000946A9">
        <w:rPr>
          <w:rFonts w:cs="Arial"/>
        </w:rPr>
        <w:t>”</w:t>
      </w:r>
      <w:r w:rsidR="000946A9" w:rsidRPr="00DA2EB8">
        <w:rPr>
          <w:rFonts w:cs="Arial"/>
        </w:rPr>
        <w:t xml:space="preserve"> </w:t>
      </w:r>
      <w:r w:rsidRPr="00DA2EB8">
        <w:rPr>
          <w:rFonts w:cs="Arial"/>
        </w:rPr>
        <w:t xml:space="preserve">used to operate the Partnership’s three stores, placing the funds in a separate </w:t>
      </w:r>
      <w:r w:rsidR="000946A9">
        <w:rPr>
          <w:rFonts w:cs="Arial"/>
        </w:rPr>
        <w:t>“</w:t>
      </w:r>
      <w:r w:rsidRPr="00DA2EB8">
        <w:rPr>
          <w:rFonts w:cs="Arial"/>
        </w:rPr>
        <w:t>non-supermarket</w:t>
      </w:r>
      <w:r w:rsidR="000946A9">
        <w:rPr>
          <w:rFonts w:cs="Arial"/>
        </w:rPr>
        <w:t>”</w:t>
      </w:r>
      <w:r w:rsidR="000946A9" w:rsidRPr="00DA2EB8">
        <w:rPr>
          <w:rFonts w:cs="Arial"/>
        </w:rPr>
        <w:t xml:space="preserve"> </w:t>
      </w:r>
      <w:r w:rsidRPr="00DA2EB8">
        <w:rPr>
          <w:rFonts w:cs="Arial"/>
        </w:rPr>
        <w:t xml:space="preserve">United account controlled only by him. </w:t>
      </w:r>
      <w:r w:rsidR="000946A9">
        <w:rPr>
          <w:rFonts w:cs="Arial"/>
        </w:rPr>
        <w:t xml:space="preserve"> </w:t>
      </w:r>
      <w:r w:rsidRPr="00DA2EB8">
        <w:rPr>
          <w:rFonts w:cs="Arial"/>
        </w:rPr>
        <w:t xml:space="preserve">Said conversion was a willful and wanton breach of the Partnership agreement between Hamed and Yusuf. </w:t>
      </w:r>
    </w:p>
    <w:p w:rsidR="00DA2EB8" w:rsidRDefault="00DA2EB8" w:rsidP="00EC16E7">
      <w:pPr>
        <w:numPr>
          <w:ilvl w:val="0"/>
          <w:numId w:val="14"/>
        </w:numPr>
        <w:autoSpaceDE w:val="0"/>
        <w:autoSpaceDN w:val="0"/>
        <w:adjustRightInd w:val="0"/>
        <w:spacing w:after="120"/>
        <w:jc w:val="both"/>
        <w:rPr>
          <w:rFonts w:cs="Arial"/>
        </w:rPr>
      </w:pPr>
      <w:r>
        <w:rPr>
          <w:rFonts w:cs="Arial"/>
        </w:rPr>
        <w:t xml:space="preserve">Despite repeated demands, he has not returned these funds to the Plaza Extra </w:t>
      </w:r>
      <w:r w:rsidR="000946A9">
        <w:rPr>
          <w:rFonts w:cs="Arial"/>
        </w:rPr>
        <w:t>“</w:t>
      </w:r>
      <w:r>
        <w:rPr>
          <w:rFonts w:cs="Arial"/>
        </w:rPr>
        <w:t>supermarket accounts</w:t>
      </w:r>
      <w:r w:rsidR="000946A9">
        <w:rPr>
          <w:rFonts w:cs="Arial"/>
        </w:rPr>
        <w:t xml:space="preserve">” </w:t>
      </w:r>
      <w:r>
        <w:rPr>
          <w:rFonts w:cs="Arial"/>
        </w:rPr>
        <w:t>from which they were withdrawn, which not only violates the Partnership agreement, but also threatens the financial viability of these three Plaza supermarkets and the employment of its 600 employees.</w:t>
      </w:r>
    </w:p>
    <w:p w:rsidR="00DA2EB8" w:rsidRPr="00DA2EB8" w:rsidRDefault="00DA2EB8" w:rsidP="00EC16E7">
      <w:pPr>
        <w:numPr>
          <w:ilvl w:val="0"/>
          <w:numId w:val="14"/>
        </w:numPr>
        <w:autoSpaceDE w:val="0"/>
        <w:autoSpaceDN w:val="0"/>
        <w:adjustRightInd w:val="0"/>
        <w:spacing w:after="120"/>
        <w:jc w:val="both"/>
        <w:rPr>
          <w:rFonts w:cs="Arial"/>
        </w:rPr>
      </w:pPr>
      <w:r>
        <w:rPr>
          <w:rFonts w:cs="Arial"/>
        </w:rPr>
        <w:lastRenderedPageBreak/>
        <w:t xml:space="preserve">Upon information and belief, Yusuf has used additional Partnership funds to purchase other assets in United’s name, such as real property on St. Croix recently purchased for $1.7 million. </w:t>
      </w:r>
    </w:p>
    <w:p w:rsidR="00DA2EB8" w:rsidRDefault="00DA2EB8" w:rsidP="00EC16E7">
      <w:pPr>
        <w:numPr>
          <w:ilvl w:val="0"/>
          <w:numId w:val="14"/>
        </w:numPr>
        <w:autoSpaceDE w:val="0"/>
        <w:autoSpaceDN w:val="0"/>
        <w:adjustRightInd w:val="0"/>
        <w:spacing w:after="120"/>
        <w:jc w:val="both"/>
        <w:rPr>
          <w:rFonts w:cs="Arial"/>
        </w:rPr>
      </w:pPr>
      <w:r>
        <w:rPr>
          <w:rFonts w:cs="Arial"/>
        </w:rPr>
        <w:t>Upon information and belief, Yusuf has also now diverted more than $1.6 million in partnership funds from the Partnership interest the Dorthea Property and, upon information and belief based on a statement he made to Waleed Hamed, removed those funds to a place out of the jurisdiction of the Court.</w:t>
      </w:r>
    </w:p>
    <w:p w:rsidR="00DA2EB8" w:rsidRDefault="00DA2EB8" w:rsidP="00DA2EB8">
      <w:pPr>
        <w:numPr>
          <w:ilvl w:val="0"/>
          <w:numId w:val="14"/>
        </w:numPr>
        <w:autoSpaceDE w:val="0"/>
        <w:autoSpaceDN w:val="0"/>
        <w:adjustRightInd w:val="0"/>
        <w:jc w:val="both"/>
        <w:rPr>
          <w:rFonts w:cs="Arial"/>
        </w:rPr>
      </w:pPr>
      <w:r>
        <w:rPr>
          <w:rFonts w:cs="Arial"/>
        </w:rPr>
        <w:t>The acts in question were designed in part to take advantage of Mohammad Hamed’s health to force him out of the Partnership and deny him his rightful partnership assets and profits.</w:t>
      </w:r>
    </w:p>
    <w:p w:rsidR="0031292A" w:rsidRDefault="001C254E" w:rsidP="00EC16E7">
      <w:pPr>
        <w:ind w:left="1080"/>
        <w:jc w:val="center"/>
        <w:rPr>
          <w:rFonts w:cs="Arial"/>
        </w:rPr>
      </w:pPr>
      <w:r>
        <w:rPr>
          <w:rFonts w:cs="Arial"/>
        </w:rPr>
        <w:t xml:space="preserve">. . . </w:t>
      </w:r>
    </w:p>
    <w:p w:rsidR="00DA2EB8" w:rsidRDefault="00DA2EB8" w:rsidP="00EC16E7">
      <w:pPr>
        <w:pStyle w:val="ListParagraph"/>
        <w:numPr>
          <w:ilvl w:val="0"/>
          <w:numId w:val="15"/>
        </w:numPr>
        <w:autoSpaceDE w:val="0"/>
        <w:autoSpaceDN w:val="0"/>
        <w:adjustRightInd w:val="0"/>
        <w:spacing w:after="120"/>
        <w:jc w:val="both"/>
        <w:rPr>
          <w:rFonts w:cs="Arial"/>
        </w:rPr>
      </w:pPr>
      <w:r w:rsidRPr="00DA2EB8">
        <w:rPr>
          <w:rFonts w:cs="Arial"/>
        </w:rPr>
        <w:t>The foregoing acts by Yusuf also constitute intentional misconduct, or reckless and grossly negligent conduct, which has adversely and materially affected the Partnership between Mohammed Hamed and Yusuf regarding the three Plaza supermarkets.</w:t>
      </w:r>
    </w:p>
    <w:p w:rsidR="004A73FD" w:rsidRPr="00EC16E7" w:rsidRDefault="004A73FD" w:rsidP="00EC16E7">
      <w:pPr>
        <w:pStyle w:val="ListParagraph"/>
        <w:autoSpaceDE w:val="0"/>
        <w:autoSpaceDN w:val="0"/>
        <w:adjustRightInd w:val="0"/>
        <w:spacing w:after="120"/>
        <w:ind w:left="1080"/>
        <w:jc w:val="both"/>
        <w:rPr>
          <w:rFonts w:cs="Arial"/>
          <w:sz w:val="12"/>
          <w:szCs w:val="12"/>
        </w:rPr>
      </w:pPr>
    </w:p>
    <w:p w:rsidR="00DA2EB8" w:rsidRDefault="00DA2EB8" w:rsidP="00DA2EB8">
      <w:pPr>
        <w:pStyle w:val="ListParagraph"/>
        <w:numPr>
          <w:ilvl w:val="0"/>
          <w:numId w:val="15"/>
        </w:numPr>
        <w:autoSpaceDE w:val="0"/>
        <w:autoSpaceDN w:val="0"/>
        <w:adjustRightInd w:val="0"/>
        <w:jc w:val="both"/>
        <w:rPr>
          <w:rFonts w:cs="Arial"/>
        </w:rPr>
      </w:pPr>
      <w:r w:rsidRPr="00DA2EB8">
        <w:rPr>
          <w:rFonts w:cs="Arial"/>
        </w:rPr>
        <w:t>United was at the time of the formation of the Partnership, controlled by Yusuf, who, as the partner making such financial arrangements for the Partnership, committed it to do acts and hold funds and property for the Partnership either as an agent, or, alternatively under an agreement or under a trust.  United, which is also an alter ego of Yusuf, now refuses to pay over said funds -- which breaches the agreement and the duties due to the Partnership and his Partner.</w:t>
      </w:r>
    </w:p>
    <w:p w:rsidR="006E4D00" w:rsidRPr="006E4D00" w:rsidRDefault="006E4D00" w:rsidP="006E4D00">
      <w:pPr>
        <w:autoSpaceDE w:val="0"/>
        <w:autoSpaceDN w:val="0"/>
        <w:adjustRightInd w:val="0"/>
        <w:jc w:val="both"/>
        <w:rPr>
          <w:rFonts w:cs="Arial"/>
        </w:rPr>
      </w:pPr>
    </w:p>
    <w:p w:rsidR="00DA2EB8" w:rsidRDefault="00DA2EB8" w:rsidP="00DA2EB8">
      <w:pPr>
        <w:spacing w:line="480" w:lineRule="auto"/>
        <w:jc w:val="both"/>
        <w:rPr>
          <w:rFonts w:cs="Arial"/>
        </w:rPr>
      </w:pPr>
      <w:r>
        <w:rPr>
          <w:rFonts w:cs="Arial"/>
        </w:rPr>
        <w:t>Clearly these fact</w:t>
      </w:r>
      <w:r w:rsidR="004A73FD">
        <w:rPr>
          <w:rFonts w:cs="Arial"/>
        </w:rPr>
        <w:t>s</w:t>
      </w:r>
      <w:r>
        <w:rPr>
          <w:rFonts w:cs="Arial"/>
        </w:rPr>
        <w:t>, if proven, would support the relief sought under Count II of the amended complaint.</w:t>
      </w:r>
      <w:r w:rsidR="002060AB">
        <w:rPr>
          <w:rFonts w:cs="Arial"/>
        </w:rPr>
        <w:t xml:space="preserve"> </w:t>
      </w:r>
      <w:r>
        <w:rPr>
          <w:rFonts w:cs="Arial"/>
        </w:rPr>
        <w:t xml:space="preserve"> Indeed, </w:t>
      </w:r>
      <w:r w:rsidR="0048746C">
        <w:rPr>
          <w:rFonts w:cs="Arial"/>
        </w:rPr>
        <w:t>defendants</w:t>
      </w:r>
      <w:r>
        <w:rPr>
          <w:rFonts w:cs="Arial"/>
        </w:rPr>
        <w:t xml:space="preserve"> did not even address this count in their motion, conceding that it does adequately plead the relief being sought.</w:t>
      </w:r>
    </w:p>
    <w:p w:rsidR="009710E3" w:rsidRPr="006771E4" w:rsidRDefault="008D13C2" w:rsidP="00BB7935">
      <w:pPr>
        <w:spacing w:line="480" w:lineRule="auto"/>
        <w:ind w:firstLine="720"/>
        <w:jc w:val="both"/>
        <w:rPr>
          <w:rFonts w:cs="Arial"/>
          <w:color w:val="000000" w:themeColor="text1"/>
        </w:rPr>
      </w:pPr>
      <w:r>
        <w:rPr>
          <w:rFonts w:cs="Arial"/>
          <w:bCs/>
          <w:color w:val="000000" w:themeColor="text1"/>
        </w:rPr>
        <w:t>In short</w:t>
      </w:r>
      <w:r w:rsidR="009710E3" w:rsidRPr="00F522D8">
        <w:rPr>
          <w:rFonts w:cs="Arial"/>
          <w:bCs/>
          <w:color w:val="000000" w:themeColor="text1"/>
        </w:rPr>
        <w:t xml:space="preserve">, </w:t>
      </w:r>
      <w:r w:rsidR="009710E3">
        <w:rPr>
          <w:rFonts w:cs="Arial"/>
          <w:bCs/>
          <w:color w:val="000000" w:themeColor="text1"/>
        </w:rPr>
        <w:t xml:space="preserve">Count I of </w:t>
      </w:r>
      <w:r w:rsidR="009710E3" w:rsidRPr="00F522D8">
        <w:rPr>
          <w:rFonts w:cs="Arial"/>
          <w:bCs/>
          <w:color w:val="000000" w:themeColor="text1"/>
        </w:rPr>
        <w:t>the complaint sets forth an adequate factual basis</w:t>
      </w:r>
      <w:r>
        <w:rPr>
          <w:rFonts w:cs="Arial"/>
          <w:bCs/>
          <w:color w:val="000000" w:themeColor="text1"/>
        </w:rPr>
        <w:t xml:space="preserve"> for establishing a partnership, entitling the plaintiff to seek the </w:t>
      </w:r>
      <w:r w:rsidR="00EC16E7">
        <w:rPr>
          <w:rFonts w:cs="Arial"/>
          <w:bCs/>
          <w:color w:val="000000" w:themeColor="text1"/>
        </w:rPr>
        <w:t xml:space="preserve">available </w:t>
      </w:r>
      <w:r>
        <w:rPr>
          <w:rFonts w:cs="Arial"/>
          <w:bCs/>
          <w:color w:val="000000" w:themeColor="text1"/>
        </w:rPr>
        <w:t xml:space="preserve">statutory relief. </w:t>
      </w:r>
      <w:r w:rsidR="002060AB">
        <w:rPr>
          <w:rFonts w:cs="Arial"/>
          <w:bCs/>
          <w:color w:val="000000" w:themeColor="text1"/>
        </w:rPr>
        <w:t xml:space="preserve"> </w:t>
      </w:r>
      <w:r>
        <w:rPr>
          <w:rFonts w:cs="Arial"/>
          <w:bCs/>
          <w:color w:val="000000" w:themeColor="text1"/>
        </w:rPr>
        <w:t xml:space="preserve">Count II then pleads </w:t>
      </w:r>
      <w:r w:rsidR="009710E3">
        <w:rPr>
          <w:rFonts w:cs="Arial"/>
          <w:bCs/>
          <w:color w:val="000000" w:themeColor="text1"/>
        </w:rPr>
        <w:t xml:space="preserve">a </w:t>
      </w:r>
      <w:r>
        <w:rPr>
          <w:rFonts w:cs="Arial"/>
          <w:bCs/>
          <w:color w:val="000000" w:themeColor="text1"/>
        </w:rPr>
        <w:t xml:space="preserve">viable </w:t>
      </w:r>
      <w:r w:rsidR="0064791A">
        <w:rPr>
          <w:rFonts w:cs="Arial"/>
          <w:bCs/>
          <w:color w:val="000000" w:themeColor="text1"/>
        </w:rPr>
        <w:t xml:space="preserve">statutory </w:t>
      </w:r>
      <w:r>
        <w:rPr>
          <w:rFonts w:cs="Arial"/>
          <w:bCs/>
          <w:color w:val="000000" w:themeColor="text1"/>
        </w:rPr>
        <w:t>cause of action under 26 V.I.C. § 121(5).</w:t>
      </w:r>
      <w:r w:rsidR="009710E3">
        <w:rPr>
          <w:rFonts w:cs="Arial"/>
          <w:bCs/>
          <w:color w:val="000000" w:themeColor="text1"/>
        </w:rPr>
        <w:t xml:space="preserve"> </w:t>
      </w:r>
    </w:p>
    <w:p w:rsidR="00DA2EB8" w:rsidRPr="00EC16E7" w:rsidRDefault="006771E4" w:rsidP="00DA2EB8">
      <w:pPr>
        <w:pStyle w:val="ListParagraph"/>
        <w:numPr>
          <w:ilvl w:val="0"/>
          <w:numId w:val="4"/>
        </w:numPr>
        <w:spacing w:line="480" w:lineRule="auto"/>
        <w:jc w:val="both"/>
        <w:rPr>
          <w:rFonts w:cs="Arial"/>
          <w:b/>
          <w:color w:val="000000" w:themeColor="text1"/>
          <w:u w:val="single"/>
        </w:rPr>
      </w:pPr>
      <w:r w:rsidRPr="00EC16E7">
        <w:rPr>
          <w:rFonts w:cs="Arial"/>
          <w:b/>
          <w:color w:val="000000" w:themeColor="text1"/>
          <w:u w:val="single"/>
        </w:rPr>
        <w:t>Count III</w:t>
      </w:r>
      <w:r w:rsidR="0064791A" w:rsidRPr="00EC16E7">
        <w:rPr>
          <w:rFonts w:cs="Arial"/>
          <w:b/>
          <w:color w:val="000000" w:themeColor="text1"/>
          <w:u w:val="single"/>
        </w:rPr>
        <w:t xml:space="preserve"> </w:t>
      </w:r>
      <w:r w:rsidRPr="00EC16E7">
        <w:rPr>
          <w:rFonts w:cs="Arial"/>
          <w:b/>
          <w:color w:val="000000" w:themeColor="text1"/>
          <w:u w:val="single"/>
        </w:rPr>
        <w:t>- Constructive Trust</w:t>
      </w:r>
      <w:r w:rsidR="000936FA" w:rsidRPr="00EC16E7">
        <w:rPr>
          <w:rFonts w:cs="Arial"/>
          <w:b/>
          <w:color w:val="000000" w:themeColor="text1"/>
          <w:u w:val="single"/>
        </w:rPr>
        <w:t xml:space="preserve">, </w:t>
      </w:r>
      <w:r w:rsidRPr="00EC16E7">
        <w:rPr>
          <w:rFonts w:cs="Arial"/>
          <w:b/>
          <w:color w:val="000000" w:themeColor="text1"/>
          <w:u w:val="single"/>
        </w:rPr>
        <w:t>Unjust Enrichment</w:t>
      </w:r>
      <w:r w:rsidR="000936FA" w:rsidRPr="00EC16E7">
        <w:rPr>
          <w:rFonts w:cs="Arial"/>
          <w:b/>
          <w:color w:val="000000" w:themeColor="text1"/>
          <w:u w:val="single"/>
        </w:rPr>
        <w:t xml:space="preserve"> and Alter Ego</w:t>
      </w:r>
    </w:p>
    <w:p w:rsidR="009E7894" w:rsidRPr="00141B09" w:rsidRDefault="00DA2EB8" w:rsidP="00141B09">
      <w:pPr>
        <w:spacing w:line="480" w:lineRule="auto"/>
        <w:ind w:firstLine="720"/>
        <w:jc w:val="both"/>
        <w:rPr>
          <w:rFonts w:cs="Arial"/>
          <w:color w:val="000000" w:themeColor="text1"/>
        </w:rPr>
      </w:pPr>
      <w:r w:rsidRPr="00DA2EB8">
        <w:rPr>
          <w:rFonts w:cs="Arial"/>
          <w:color w:val="000000" w:themeColor="text1"/>
        </w:rPr>
        <w:t xml:space="preserve">Finally, Count III of the amended complaint </w:t>
      </w:r>
      <w:r w:rsidR="0064791A">
        <w:rPr>
          <w:rFonts w:cs="Arial"/>
          <w:color w:val="000000" w:themeColor="text1"/>
        </w:rPr>
        <w:t xml:space="preserve">seeks </w:t>
      </w:r>
      <w:r>
        <w:rPr>
          <w:rFonts w:cs="Arial"/>
          <w:color w:val="000000" w:themeColor="text1"/>
        </w:rPr>
        <w:t xml:space="preserve">declaratory </w:t>
      </w:r>
      <w:r w:rsidRPr="00DA2EB8">
        <w:rPr>
          <w:rFonts w:cs="Arial"/>
          <w:color w:val="000000" w:themeColor="text1"/>
        </w:rPr>
        <w:t>relief against United Corporation</w:t>
      </w:r>
      <w:r>
        <w:rPr>
          <w:rFonts w:cs="Arial"/>
          <w:color w:val="000000" w:themeColor="text1"/>
        </w:rPr>
        <w:t xml:space="preserve"> based on the theor</w:t>
      </w:r>
      <w:r w:rsidR="0064791A">
        <w:rPr>
          <w:rFonts w:cs="Arial"/>
          <w:color w:val="000000" w:themeColor="text1"/>
        </w:rPr>
        <w:t>ies</w:t>
      </w:r>
      <w:r>
        <w:rPr>
          <w:rFonts w:cs="Arial"/>
          <w:color w:val="000000" w:themeColor="text1"/>
        </w:rPr>
        <w:t xml:space="preserve"> of unjust enrichment</w:t>
      </w:r>
      <w:r w:rsidR="000936FA">
        <w:rPr>
          <w:rFonts w:cs="Arial"/>
          <w:color w:val="000000" w:themeColor="text1"/>
        </w:rPr>
        <w:t xml:space="preserve">, </w:t>
      </w:r>
      <w:r w:rsidR="009E7894">
        <w:rPr>
          <w:rFonts w:cs="Arial"/>
          <w:color w:val="000000" w:themeColor="text1"/>
        </w:rPr>
        <w:t>constructive trust</w:t>
      </w:r>
      <w:r w:rsidR="000936FA">
        <w:rPr>
          <w:rFonts w:cs="Arial"/>
          <w:color w:val="000000" w:themeColor="text1"/>
        </w:rPr>
        <w:t xml:space="preserve"> and piercing the corporate veil</w:t>
      </w:r>
      <w:r w:rsidR="0064791A">
        <w:rPr>
          <w:rFonts w:cs="Arial"/>
          <w:color w:val="000000" w:themeColor="text1"/>
        </w:rPr>
        <w:t>.  It seeks onl</w:t>
      </w:r>
      <w:r w:rsidR="00863768">
        <w:rPr>
          <w:rFonts w:cs="Arial"/>
          <w:color w:val="000000" w:themeColor="text1"/>
        </w:rPr>
        <w:t>y</w:t>
      </w:r>
      <w:r w:rsidR="009E7894">
        <w:rPr>
          <w:rFonts w:cs="Arial"/>
          <w:color w:val="000000" w:themeColor="text1"/>
        </w:rPr>
        <w:t xml:space="preserve"> the return</w:t>
      </w:r>
      <w:r w:rsidR="00141B09">
        <w:rPr>
          <w:rFonts w:cs="Arial"/>
          <w:color w:val="000000" w:themeColor="text1"/>
        </w:rPr>
        <w:t xml:space="preserve"> of funds </w:t>
      </w:r>
      <w:r w:rsidR="009E7894">
        <w:rPr>
          <w:rFonts w:cs="Arial"/>
          <w:color w:val="000000" w:themeColor="text1"/>
        </w:rPr>
        <w:t xml:space="preserve">held in </w:t>
      </w:r>
      <w:r w:rsidR="009A3F63">
        <w:rPr>
          <w:rFonts w:cs="Arial"/>
          <w:color w:val="000000" w:themeColor="text1"/>
        </w:rPr>
        <w:t xml:space="preserve">United’s </w:t>
      </w:r>
      <w:r w:rsidR="009E7894">
        <w:rPr>
          <w:rFonts w:cs="Arial"/>
          <w:color w:val="000000" w:themeColor="text1"/>
        </w:rPr>
        <w:t xml:space="preserve">name which belong </w:t>
      </w:r>
      <w:r w:rsidR="00480DFD">
        <w:rPr>
          <w:rFonts w:cs="Arial"/>
          <w:color w:val="000000" w:themeColor="text1"/>
        </w:rPr>
        <w:t xml:space="preserve">to or are due </w:t>
      </w:r>
      <w:r w:rsidR="009E7894">
        <w:rPr>
          <w:rFonts w:cs="Arial"/>
          <w:color w:val="000000" w:themeColor="text1"/>
        </w:rPr>
        <w:t>to the partnership, pleading as follows</w:t>
      </w:r>
      <w:r w:rsidR="005D5709">
        <w:rPr>
          <w:rFonts w:cs="Arial"/>
          <w:color w:val="000000" w:themeColor="text1"/>
        </w:rPr>
        <w:t xml:space="preserve"> (after incorporating all prior pleadings into this Count by reference thereto)</w:t>
      </w:r>
      <w:r w:rsidR="009E7894">
        <w:rPr>
          <w:rFonts w:cs="Arial"/>
          <w:color w:val="000000" w:themeColor="text1"/>
        </w:rPr>
        <w:t>:</w:t>
      </w:r>
    </w:p>
    <w:p w:rsidR="009E7894" w:rsidRDefault="009E7894" w:rsidP="00D17FB8">
      <w:pPr>
        <w:pStyle w:val="ListParagraph"/>
        <w:numPr>
          <w:ilvl w:val="0"/>
          <w:numId w:val="17"/>
        </w:numPr>
        <w:autoSpaceDE w:val="0"/>
        <w:autoSpaceDN w:val="0"/>
        <w:adjustRightInd w:val="0"/>
        <w:spacing w:after="120"/>
        <w:jc w:val="both"/>
        <w:rPr>
          <w:rFonts w:cs="Arial"/>
        </w:rPr>
      </w:pPr>
      <w:r w:rsidRPr="009E7894">
        <w:rPr>
          <w:rFonts w:cs="Arial"/>
        </w:rPr>
        <w:lastRenderedPageBreak/>
        <w:t>United was at the time of the formation of the Partnership, controlled by Yusuf who, as the partner making such financial arrangements for the Partnership, committed it to do acts and hold funds and property for the Partnership either as an agent, or, alternatively under contract or under a trust.  United, which is also an alter ego of Yusuf, now refuses to pay over said funds -- which breaches the agreement and the duties due to the Partnership and his Partner.</w:t>
      </w:r>
    </w:p>
    <w:p w:rsidR="009E7894" w:rsidRDefault="009E7894" w:rsidP="00D17FB8">
      <w:pPr>
        <w:numPr>
          <w:ilvl w:val="0"/>
          <w:numId w:val="17"/>
        </w:numPr>
        <w:autoSpaceDE w:val="0"/>
        <w:autoSpaceDN w:val="0"/>
        <w:adjustRightInd w:val="0"/>
        <w:spacing w:after="120"/>
        <w:jc w:val="both"/>
        <w:rPr>
          <w:rFonts w:cs="Arial"/>
        </w:rPr>
      </w:pPr>
      <w:r>
        <w:rPr>
          <w:rFonts w:cs="Arial"/>
        </w:rPr>
        <w:t>The defendant United Corporation would violate its agency, violate Mohammad Hamed's contribution of its services to the Partnership, and be unjustly enriched if it did not distribute the 50% of the Partnership funds and 50% of the Partnership property belonging to the plaintiff, Mohammed Hamed.</w:t>
      </w:r>
    </w:p>
    <w:p w:rsidR="009E7894" w:rsidRDefault="009E7894" w:rsidP="009E7894">
      <w:pPr>
        <w:numPr>
          <w:ilvl w:val="0"/>
          <w:numId w:val="17"/>
        </w:numPr>
        <w:autoSpaceDE w:val="0"/>
        <w:autoSpaceDN w:val="0"/>
        <w:adjustRightInd w:val="0"/>
        <w:jc w:val="both"/>
        <w:rPr>
          <w:rFonts w:cs="Arial"/>
        </w:rPr>
      </w:pPr>
      <w:r>
        <w:rPr>
          <w:rFonts w:cs="Arial"/>
        </w:rPr>
        <w:t xml:space="preserve"> Mohammad Hamed is entitled to declaratory relief finding that all funds belonging to the plaintiff held by United Corporation are held in either in the course of business as an agent, as </w:t>
      </w:r>
      <w:r w:rsidR="008547B2">
        <w:rPr>
          <w:rFonts w:cs="Arial"/>
        </w:rPr>
        <w:t xml:space="preserve">Yusuf’s </w:t>
      </w:r>
      <w:r>
        <w:rPr>
          <w:rFonts w:cs="Arial"/>
        </w:rPr>
        <w:t>alter ego or as a constructive trust for the plaintiff, which must be returned forthwith.  United should also be equitably estopped from denying the obligation to provide such funds and property to plaintiff.  In the alternative Mohammad Hamed is entitled to declaratory relief finding that an amount equal to 50% of the Partnership profits and property held in United for distribution to or for the benefit of Yusuf are owed to Hamed under the Partnership Agreement or pursuant to a constructive trust for Hamed.</w:t>
      </w:r>
    </w:p>
    <w:p w:rsidR="00863768" w:rsidRDefault="00863768" w:rsidP="00EC16E7">
      <w:pPr>
        <w:autoSpaceDE w:val="0"/>
        <w:autoSpaceDN w:val="0"/>
        <w:adjustRightInd w:val="0"/>
        <w:ind w:left="720"/>
        <w:jc w:val="both"/>
        <w:rPr>
          <w:rFonts w:cs="Arial"/>
        </w:rPr>
      </w:pPr>
    </w:p>
    <w:p w:rsidR="006E4D00" w:rsidRDefault="006E4D00" w:rsidP="006E4D00">
      <w:pPr>
        <w:spacing w:line="480" w:lineRule="auto"/>
        <w:jc w:val="both"/>
      </w:pPr>
      <w:r>
        <w:rPr>
          <w:rFonts w:cs="Arial"/>
          <w:color w:val="000000" w:themeColor="text1"/>
        </w:rPr>
        <w:t xml:space="preserve">Here, </w:t>
      </w:r>
      <w:r w:rsidR="002B02CD">
        <w:rPr>
          <w:rFonts w:cs="Arial"/>
          <w:color w:val="000000" w:themeColor="text1"/>
        </w:rPr>
        <w:t xml:space="preserve">with regard to United, </w:t>
      </w:r>
      <w:r>
        <w:rPr>
          <w:rFonts w:cs="Arial"/>
          <w:color w:val="000000" w:themeColor="text1"/>
        </w:rPr>
        <w:t>p</w:t>
      </w:r>
      <w:r w:rsidR="009E7894">
        <w:rPr>
          <w:rFonts w:cs="Arial"/>
          <w:color w:val="000000" w:themeColor="text1"/>
        </w:rPr>
        <w:t xml:space="preserve">laintiff </w:t>
      </w:r>
      <w:r>
        <w:rPr>
          <w:rFonts w:cs="Arial"/>
          <w:color w:val="000000" w:themeColor="text1"/>
        </w:rPr>
        <w:t>is merely alleging</w:t>
      </w:r>
      <w:r w:rsidR="009E7894">
        <w:rPr>
          <w:rFonts w:cs="Arial"/>
          <w:color w:val="000000" w:themeColor="text1"/>
        </w:rPr>
        <w:t xml:space="preserve"> exactly what Yusuf has </w:t>
      </w:r>
      <w:r w:rsidR="00863768">
        <w:rPr>
          <w:rFonts w:cs="Arial"/>
          <w:color w:val="000000" w:themeColor="text1"/>
        </w:rPr>
        <w:t xml:space="preserve">already </w:t>
      </w:r>
      <w:r w:rsidR="009E7894">
        <w:rPr>
          <w:rFonts w:cs="Arial"/>
          <w:color w:val="000000" w:themeColor="text1"/>
        </w:rPr>
        <w:t xml:space="preserve">stated repeatedly -- </w:t>
      </w:r>
      <w:r w:rsidR="009E7894" w:rsidRPr="004A4A67">
        <w:rPr>
          <w:rFonts w:cs="Arial"/>
          <w:color w:val="000000" w:themeColor="text1"/>
        </w:rPr>
        <w:t>the partners</w:t>
      </w:r>
      <w:r w:rsidR="008547B2">
        <w:rPr>
          <w:rFonts w:cs="Arial"/>
          <w:color w:val="000000" w:themeColor="text1"/>
        </w:rPr>
        <w:t>’</w:t>
      </w:r>
      <w:r w:rsidR="009E7894" w:rsidRPr="004A4A67">
        <w:rPr>
          <w:rFonts w:cs="Arial"/>
          <w:color w:val="000000" w:themeColor="text1"/>
        </w:rPr>
        <w:t xml:space="preserve"> original agreement was </w:t>
      </w:r>
      <w:r w:rsidR="009E7894" w:rsidRPr="005875B0">
        <w:rPr>
          <w:rFonts w:cs="Arial"/>
          <w:iCs/>
          <w:color w:val="000000" w:themeColor="text1"/>
        </w:rPr>
        <w:t>to carry out the purpose of the partnership agreement utilizing the corporation to do things for it.</w:t>
      </w:r>
      <w:r w:rsidR="00141B09">
        <w:rPr>
          <w:rStyle w:val="FootnoteReference"/>
          <w:rFonts w:cs="Arial"/>
          <w:color w:val="000000" w:themeColor="text1"/>
        </w:rPr>
        <w:footnoteReference w:id="4"/>
      </w:r>
      <w:r>
        <w:rPr>
          <w:rFonts w:cs="Arial"/>
          <w:iCs/>
          <w:color w:val="000000" w:themeColor="text1"/>
        </w:rPr>
        <w:t xml:space="preserve"> </w:t>
      </w:r>
      <w:r w:rsidR="00CA48A0">
        <w:rPr>
          <w:rFonts w:cs="Arial"/>
          <w:iCs/>
          <w:color w:val="000000" w:themeColor="text1"/>
        </w:rPr>
        <w:t xml:space="preserve"> </w:t>
      </w:r>
      <w:r>
        <w:t>Yusuf</w:t>
      </w:r>
      <w:r w:rsidR="002B02CD">
        <w:t xml:space="preserve"> and </w:t>
      </w:r>
      <w:r w:rsidR="008547B2">
        <w:t xml:space="preserve">United’s </w:t>
      </w:r>
      <w:r w:rsidR="002B02CD">
        <w:t>a</w:t>
      </w:r>
      <w:r>
        <w:t xml:space="preserve">ttorney made sure this point </w:t>
      </w:r>
      <w:r w:rsidR="008D13C2">
        <w:t xml:space="preserve">was clear </w:t>
      </w:r>
      <w:r w:rsidR="00480DFD">
        <w:t>in that deposition testimony</w:t>
      </w:r>
      <w:r w:rsidR="002B02CD">
        <w:t xml:space="preserve">. </w:t>
      </w:r>
      <w:r>
        <w:t>(</w:t>
      </w:r>
      <w:r w:rsidR="00E30B04" w:rsidRPr="00EC2234">
        <w:rPr>
          <w:b/>
        </w:rPr>
        <w:t>Exhibit</w:t>
      </w:r>
      <w:r>
        <w:t xml:space="preserve"> 1 at</w:t>
      </w:r>
      <w:r w:rsidR="00EC16E7">
        <w:t xml:space="preserve"> </w:t>
      </w:r>
      <w:r w:rsidR="00E30B04">
        <w:t xml:space="preserve">p. </w:t>
      </w:r>
      <w:r>
        <w:t>69</w:t>
      </w:r>
      <w:r w:rsidR="002B7E05">
        <w:t>:13-21</w:t>
      </w:r>
      <w:r>
        <w:t>)</w:t>
      </w:r>
      <w:r w:rsidR="001A05DC">
        <w:t xml:space="preserve"> </w:t>
      </w:r>
      <w:r w:rsidR="00056723">
        <w:t>(</w:t>
      </w:r>
      <w:proofErr w:type="gramStart"/>
      <w:r w:rsidR="00056723">
        <w:t>emphasis</w:t>
      </w:r>
      <w:proofErr w:type="gramEnd"/>
      <w:r w:rsidR="00056723">
        <w:t xml:space="preserve"> added)</w:t>
      </w:r>
      <w:r>
        <w:t>:</w:t>
      </w:r>
    </w:p>
    <w:p w:rsidR="006E4D00" w:rsidRDefault="006E4D00" w:rsidP="006E4D00">
      <w:pPr>
        <w:autoSpaceDE w:val="0"/>
        <w:autoSpaceDN w:val="0"/>
        <w:adjustRightInd w:val="0"/>
        <w:spacing w:after="120"/>
        <w:ind w:left="720" w:hanging="720"/>
        <w:jc w:val="both"/>
        <w:rPr>
          <w:rFonts w:cs="Arial"/>
        </w:rPr>
      </w:pPr>
      <w:r>
        <w:tab/>
      </w:r>
      <w:r w:rsidR="00D17FB8">
        <w:rPr>
          <w:rFonts w:cs="Arial"/>
        </w:rPr>
        <w:t>Q:</w:t>
      </w:r>
      <w:r w:rsidRPr="00581255">
        <w:rPr>
          <w:rFonts w:cs="Arial"/>
        </w:rPr>
        <w:tab/>
        <w:t xml:space="preserve">Okay. Okay. You were asked by Attorney Adams, when it says United Corporation in this </w:t>
      </w:r>
      <w:r>
        <w:rPr>
          <w:rFonts w:cs="Arial"/>
        </w:rPr>
        <w:t xml:space="preserve">[other, unrelated] </w:t>
      </w:r>
      <w:r w:rsidRPr="00581255">
        <w:rPr>
          <w:rFonts w:cs="Arial"/>
        </w:rPr>
        <w:t xml:space="preserve">Joint Venture Agreement, </w:t>
      </w:r>
      <w:r w:rsidRPr="00A05BF3">
        <w:rPr>
          <w:rFonts w:cs="Arial"/>
          <w:b/>
        </w:rPr>
        <w:t>in talking about Plaza Extra, talking about the supermarket</w:t>
      </w:r>
      <w:r w:rsidRPr="00581255">
        <w:rPr>
          <w:rFonts w:cs="Arial"/>
        </w:rPr>
        <w:t xml:space="preserve"> on St. Thomas, who owned or who was partners in United Corporation </w:t>
      </w:r>
      <w:r w:rsidRPr="006C08D3">
        <w:rPr>
          <w:rFonts w:cs="Arial"/>
          <w:b/>
        </w:rPr>
        <w:t>Plaza Extra</w:t>
      </w:r>
      <w:r w:rsidRPr="00581255">
        <w:rPr>
          <w:rFonts w:cs="Arial"/>
        </w:rPr>
        <w:t xml:space="preserve"> at the time before you entered into that Joint Venture Agreement?</w:t>
      </w:r>
    </w:p>
    <w:p w:rsidR="006E4D00" w:rsidRDefault="00D17FB8" w:rsidP="006E4D00">
      <w:pPr>
        <w:autoSpaceDE w:val="0"/>
        <w:autoSpaceDN w:val="0"/>
        <w:adjustRightInd w:val="0"/>
        <w:spacing w:after="120"/>
        <w:ind w:firstLine="720"/>
        <w:jc w:val="both"/>
        <w:rPr>
          <w:rFonts w:cs="Arial"/>
        </w:rPr>
      </w:pPr>
      <w:r>
        <w:rPr>
          <w:rFonts w:cs="Arial"/>
        </w:rPr>
        <w:t>A:</w:t>
      </w:r>
      <w:r w:rsidR="006E4D00" w:rsidRPr="00581255">
        <w:rPr>
          <w:rFonts w:cs="Arial"/>
        </w:rPr>
        <w:t xml:space="preserve"> </w:t>
      </w:r>
      <w:r w:rsidR="006E4D00" w:rsidRPr="00581255">
        <w:rPr>
          <w:rFonts w:cs="Arial"/>
        </w:rPr>
        <w:tab/>
      </w:r>
      <w:r w:rsidR="008547B2" w:rsidRPr="006C08D3">
        <w:rPr>
          <w:rFonts w:cs="Arial"/>
          <w:b/>
        </w:rPr>
        <w:t>It</w:t>
      </w:r>
      <w:r w:rsidR="008547B2">
        <w:rPr>
          <w:rFonts w:cs="Arial"/>
          <w:b/>
        </w:rPr>
        <w:t>’</w:t>
      </w:r>
      <w:r w:rsidR="008547B2" w:rsidRPr="006C08D3">
        <w:rPr>
          <w:rFonts w:cs="Arial"/>
          <w:b/>
        </w:rPr>
        <w:t xml:space="preserve">s </w:t>
      </w:r>
      <w:r w:rsidR="006E4D00" w:rsidRPr="006C08D3">
        <w:rPr>
          <w:rFonts w:cs="Arial"/>
          <w:b/>
        </w:rPr>
        <w:t>always, since 1984, Mohammed Hamed</w:t>
      </w:r>
      <w:r w:rsidR="006E4D00" w:rsidRPr="00581255">
        <w:rPr>
          <w:rFonts w:cs="Arial"/>
        </w:rPr>
        <w:t>.</w:t>
      </w:r>
    </w:p>
    <w:p w:rsidR="006E4D00" w:rsidRDefault="006E4D00" w:rsidP="006E4D00">
      <w:pPr>
        <w:autoSpaceDE w:val="0"/>
        <w:autoSpaceDN w:val="0"/>
        <w:adjustRightInd w:val="0"/>
        <w:spacing w:after="120"/>
        <w:ind w:firstLine="720"/>
        <w:jc w:val="both"/>
        <w:rPr>
          <w:rFonts w:cs="Arial"/>
        </w:rPr>
      </w:pPr>
      <w:r w:rsidRPr="00581255">
        <w:rPr>
          <w:rFonts w:cs="Arial"/>
        </w:rPr>
        <w:t xml:space="preserve">Q: </w:t>
      </w:r>
      <w:r w:rsidRPr="00581255">
        <w:rPr>
          <w:rFonts w:cs="Arial"/>
        </w:rPr>
        <w:tab/>
        <w:t>Okay. So when it says United Corporation –</w:t>
      </w:r>
    </w:p>
    <w:p w:rsidR="006E4D00" w:rsidRDefault="006E4D00" w:rsidP="006E4D00">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rPr>
          <w:rFonts w:cs="Arial"/>
        </w:rPr>
      </w:pPr>
      <w:r>
        <w:rPr>
          <w:rFonts w:cs="Arial"/>
          <w:b/>
        </w:rPr>
        <w:lastRenderedPageBreak/>
        <w:tab/>
      </w:r>
      <w:r w:rsidR="00D17FB8">
        <w:rPr>
          <w:rFonts w:cs="Arial"/>
        </w:rPr>
        <w:t xml:space="preserve">A:       </w:t>
      </w:r>
      <w:r w:rsidR="005B295E" w:rsidRPr="00A05BF3">
        <w:rPr>
          <w:rFonts w:cs="Arial"/>
          <w:b/>
        </w:rPr>
        <w:t>I</w:t>
      </w:r>
      <w:r w:rsidR="005B295E" w:rsidRPr="00EB37D1">
        <w:rPr>
          <w:rFonts w:cs="Arial"/>
          <w:b/>
        </w:rPr>
        <w:t>t</w:t>
      </w:r>
      <w:r w:rsidR="005B295E">
        <w:rPr>
          <w:rFonts w:cs="Arial"/>
          <w:b/>
        </w:rPr>
        <w:t>’</w:t>
      </w:r>
      <w:r w:rsidR="005B295E" w:rsidRPr="00EB37D1">
        <w:rPr>
          <w:rFonts w:cs="Arial"/>
          <w:b/>
        </w:rPr>
        <w:t xml:space="preserve">s </w:t>
      </w:r>
      <w:r w:rsidRPr="00EB37D1">
        <w:rPr>
          <w:rFonts w:cs="Arial"/>
          <w:b/>
        </w:rPr>
        <w:t xml:space="preserve">really meant me and Mr. Mohammed Hamed. </w:t>
      </w:r>
    </w:p>
    <w:p w:rsidR="006E4D00" w:rsidRPr="008D13C2" w:rsidRDefault="006E4D00" w:rsidP="008D13C2">
      <w:pPr>
        <w:spacing w:line="480" w:lineRule="auto"/>
        <w:jc w:val="both"/>
        <w:rPr>
          <w:rFonts w:cs="Arial"/>
          <w:bCs/>
          <w:color w:val="000000" w:themeColor="text1"/>
        </w:rPr>
      </w:pPr>
      <w:r>
        <w:rPr>
          <w:rFonts w:cs="Arial"/>
          <w:color w:val="000000" w:themeColor="text1"/>
        </w:rPr>
        <w:t xml:space="preserve">Indeed, such </w:t>
      </w:r>
      <w:r w:rsidR="003F3732">
        <w:rPr>
          <w:rFonts w:cs="Arial"/>
          <w:color w:val="000000" w:themeColor="text1"/>
        </w:rPr>
        <w:t xml:space="preserve">use </w:t>
      </w:r>
      <w:r>
        <w:rPr>
          <w:rFonts w:cs="Arial"/>
          <w:color w:val="000000" w:themeColor="text1"/>
        </w:rPr>
        <w:t xml:space="preserve">by a partnership of </w:t>
      </w:r>
      <w:r w:rsidR="003F3732">
        <w:rPr>
          <w:rFonts w:cs="Arial"/>
          <w:color w:val="000000" w:themeColor="text1"/>
        </w:rPr>
        <w:t xml:space="preserve">the services of </w:t>
      </w:r>
      <w:r>
        <w:rPr>
          <w:rFonts w:cs="Arial"/>
          <w:color w:val="000000" w:themeColor="text1"/>
        </w:rPr>
        <w:t>a corporat</w:t>
      </w:r>
      <w:r w:rsidR="00863768">
        <w:rPr>
          <w:rFonts w:cs="Arial"/>
          <w:color w:val="000000" w:themeColor="text1"/>
        </w:rPr>
        <w:t>ion</w:t>
      </w:r>
      <w:r>
        <w:rPr>
          <w:rFonts w:cs="Arial"/>
          <w:color w:val="000000" w:themeColor="text1"/>
        </w:rPr>
        <w:t xml:space="preserve"> is </w:t>
      </w:r>
      <w:r w:rsidR="00480DFD">
        <w:rPr>
          <w:rFonts w:cs="Arial"/>
          <w:color w:val="000000" w:themeColor="text1"/>
        </w:rPr>
        <w:t xml:space="preserve">in no way </w:t>
      </w:r>
      <w:r>
        <w:rPr>
          <w:rFonts w:cs="Arial"/>
          <w:color w:val="000000" w:themeColor="text1"/>
        </w:rPr>
        <w:t>novel</w:t>
      </w:r>
      <w:r w:rsidR="00863768">
        <w:rPr>
          <w:rFonts w:cs="Arial"/>
          <w:color w:val="000000" w:themeColor="text1"/>
        </w:rPr>
        <w:t xml:space="preserve"> -</w:t>
      </w:r>
      <w:r>
        <w:rPr>
          <w:rFonts w:cs="Arial"/>
          <w:color w:val="000000" w:themeColor="text1"/>
        </w:rPr>
        <w:t>-</w:t>
      </w:r>
      <w:r w:rsidR="00863768">
        <w:rPr>
          <w:rFonts w:cs="Arial"/>
          <w:color w:val="000000" w:themeColor="text1"/>
        </w:rPr>
        <w:t xml:space="preserve"> </w:t>
      </w:r>
      <w:r>
        <w:rPr>
          <w:rFonts w:cs="Arial"/>
          <w:color w:val="000000" w:themeColor="text1"/>
        </w:rPr>
        <w:t>it happens.</w:t>
      </w:r>
      <w:r w:rsidR="008D13C2">
        <w:rPr>
          <w:rStyle w:val="FootnoteReference"/>
          <w:rFonts w:cs="Arial"/>
          <w:color w:val="000000" w:themeColor="text1"/>
        </w:rPr>
        <w:footnoteReference w:id="5"/>
      </w:r>
      <w:r w:rsidR="008D13C2">
        <w:rPr>
          <w:rFonts w:cs="Arial"/>
          <w:color w:val="000000" w:themeColor="text1"/>
        </w:rPr>
        <w:t xml:space="preserve"> </w:t>
      </w:r>
      <w:r w:rsidR="00863768">
        <w:rPr>
          <w:rFonts w:cs="Arial"/>
          <w:color w:val="000000" w:themeColor="text1"/>
        </w:rPr>
        <w:t xml:space="preserve"> </w:t>
      </w:r>
      <w:r w:rsidR="008D13C2">
        <w:rPr>
          <w:rFonts w:cs="Arial"/>
          <w:color w:val="000000" w:themeColor="text1"/>
        </w:rPr>
        <w:t>Moreover</w:t>
      </w:r>
      <w:r>
        <w:rPr>
          <w:rFonts w:cs="Arial"/>
          <w:bCs/>
          <w:color w:val="000000" w:themeColor="text1"/>
        </w:rPr>
        <w:t xml:space="preserve">, </w:t>
      </w:r>
      <w:r w:rsidR="0048746C">
        <w:rPr>
          <w:rFonts w:cs="Arial"/>
          <w:bCs/>
          <w:color w:val="000000" w:themeColor="text1"/>
        </w:rPr>
        <w:t>defendants</w:t>
      </w:r>
      <w:r>
        <w:rPr>
          <w:rFonts w:cs="Arial"/>
          <w:color w:val="000000" w:themeColor="text1"/>
        </w:rPr>
        <w:t xml:space="preserve"> do not dispute in their memorandum that:</w:t>
      </w:r>
    </w:p>
    <w:p w:rsidR="006E4D00" w:rsidRDefault="006E4D00" w:rsidP="00D17FB8">
      <w:pPr>
        <w:tabs>
          <w:tab w:val="left" w:pos="720"/>
          <w:tab w:val="left" w:pos="1440"/>
          <w:tab w:val="left" w:pos="2160"/>
          <w:tab w:val="left" w:pos="2880"/>
          <w:tab w:val="left" w:pos="3600"/>
          <w:tab w:val="left" w:pos="4320"/>
          <w:tab w:val="left" w:pos="5040"/>
          <w:tab w:val="left" w:pos="5760"/>
        </w:tabs>
        <w:autoSpaceDE w:val="0"/>
        <w:autoSpaceDN w:val="0"/>
        <w:adjustRightInd w:val="0"/>
        <w:spacing w:after="120"/>
        <w:jc w:val="both"/>
        <w:rPr>
          <w:rFonts w:cs="Arial"/>
          <w:color w:val="000000" w:themeColor="text1"/>
        </w:rPr>
      </w:pPr>
      <w:r>
        <w:rPr>
          <w:rFonts w:cs="Arial"/>
          <w:color w:val="000000" w:themeColor="text1"/>
        </w:rPr>
        <w:tab/>
        <w:t xml:space="preserve">A. United </w:t>
      </w:r>
      <w:r w:rsidRPr="005875B0">
        <w:rPr>
          <w:rFonts w:cs="Arial"/>
          <w:i/>
          <w:color w:val="000000" w:themeColor="text1"/>
          <w:u w:val="single"/>
        </w:rPr>
        <w:t>is</w:t>
      </w:r>
      <w:r>
        <w:rPr>
          <w:rFonts w:cs="Arial"/>
          <w:color w:val="000000" w:themeColor="text1"/>
        </w:rPr>
        <w:t xml:space="preserve"> in possession of these </w:t>
      </w:r>
      <w:r w:rsidR="00EE2F34">
        <w:rPr>
          <w:rFonts w:cs="Arial"/>
          <w:color w:val="000000" w:themeColor="text1"/>
        </w:rPr>
        <w:t>“</w:t>
      </w:r>
      <w:r>
        <w:rPr>
          <w:rFonts w:cs="Arial"/>
          <w:color w:val="000000" w:themeColor="text1"/>
        </w:rPr>
        <w:t>profits of the supermarket operations</w:t>
      </w:r>
      <w:r w:rsidR="00EE2F34">
        <w:rPr>
          <w:rFonts w:cs="Arial"/>
          <w:color w:val="000000" w:themeColor="text1"/>
        </w:rPr>
        <w:t>”;</w:t>
      </w:r>
    </w:p>
    <w:p w:rsidR="006E4D00" w:rsidRDefault="006E4D00" w:rsidP="00D17FB8">
      <w:pPr>
        <w:tabs>
          <w:tab w:val="left" w:pos="720"/>
          <w:tab w:val="left" w:pos="1440"/>
          <w:tab w:val="left" w:pos="2160"/>
          <w:tab w:val="left" w:pos="2880"/>
          <w:tab w:val="left" w:pos="3600"/>
          <w:tab w:val="left" w:pos="4320"/>
          <w:tab w:val="left" w:pos="5040"/>
          <w:tab w:val="left" w:pos="5760"/>
        </w:tabs>
        <w:autoSpaceDE w:val="0"/>
        <w:autoSpaceDN w:val="0"/>
        <w:adjustRightInd w:val="0"/>
        <w:spacing w:after="120"/>
        <w:ind w:left="720"/>
        <w:jc w:val="both"/>
        <w:rPr>
          <w:rFonts w:cs="Arial"/>
          <w:color w:val="000000" w:themeColor="text1"/>
        </w:rPr>
      </w:pPr>
      <w:r>
        <w:rPr>
          <w:rFonts w:cs="Arial"/>
          <w:color w:val="000000" w:themeColor="text1"/>
        </w:rPr>
        <w:t xml:space="preserve">B. plaintiff </w:t>
      </w:r>
      <w:r w:rsidRPr="005875B0">
        <w:rPr>
          <w:rFonts w:cs="Arial"/>
          <w:i/>
          <w:color w:val="000000" w:themeColor="text1"/>
          <w:u w:val="single"/>
        </w:rPr>
        <w:t>is</w:t>
      </w:r>
      <w:r>
        <w:rPr>
          <w:rFonts w:cs="Arial"/>
          <w:color w:val="000000" w:themeColor="text1"/>
        </w:rPr>
        <w:t xml:space="preserve"> entitled to 50% of the </w:t>
      </w:r>
      <w:r w:rsidR="00EE2F34">
        <w:rPr>
          <w:rFonts w:cs="Arial"/>
          <w:color w:val="000000" w:themeColor="text1"/>
        </w:rPr>
        <w:t>“</w:t>
      </w:r>
      <w:r>
        <w:rPr>
          <w:rFonts w:cs="Arial"/>
          <w:color w:val="000000" w:themeColor="text1"/>
        </w:rPr>
        <w:t>profits of the supermarket operations</w:t>
      </w:r>
      <w:r w:rsidR="00330392">
        <w:rPr>
          <w:rFonts w:cs="Arial"/>
          <w:color w:val="000000" w:themeColor="text1"/>
        </w:rPr>
        <w:t>”;</w:t>
      </w:r>
    </w:p>
    <w:p w:rsidR="006E4D00" w:rsidRDefault="006E4D00" w:rsidP="00D17FB8">
      <w:pPr>
        <w:tabs>
          <w:tab w:val="left" w:pos="720"/>
          <w:tab w:val="left" w:pos="1440"/>
          <w:tab w:val="left" w:pos="2160"/>
          <w:tab w:val="left" w:pos="2880"/>
          <w:tab w:val="left" w:pos="3600"/>
          <w:tab w:val="left" w:pos="4320"/>
          <w:tab w:val="left" w:pos="5040"/>
          <w:tab w:val="left" w:pos="5760"/>
        </w:tabs>
        <w:autoSpaceDE w:val="0"/>
        <w:autoSpaceDN w:val="0"/>
        <w:adjustRightInd w:val="0"/>
        <w:spacing w:after="120"/>
        <w:ind w:left="720"/>
        <w:jc w:val="both"/>
        <w:rPr>
          <w:rFonts w:cs="Arial"/>
          <w:color w:val="000000" w:themeColor="text1"/>
        </w:rPr>
      </w:pPr>
      <w:r>
        <w:rPr>
          <w:rFonts w:cs="Arial"/>
          <w:color w:val="000000" w:themeColor="text1"/>
        </w:rPr>
        <w:t>C. removal of such profits from those United accounts (either as disbursements or to buy additional assets) have been on a closely tracked 50/50 basis;</w:t>
      </w:r>
    </w:p>
    <w:p w:rsidR="006E4D00" w:rsidRDefault="006E4D00" w:rsidP="00D17FB8">
      <w:pPr>
        <w:tabs>
          <w:tab w:val="left" w:pos="720"/>
          <w:tab w:val="left" w:pos="1440"/>
          <w:tab w:val="left" w:pos="2160"/>
          <w:tab w:val="left" w:pos="2880"/>
          <w:tab w:val="left" w:pos="3600"/>
          <w:tab w:val="left" w:pos="4320"/>
          <w:tab w:val="left" w:pos="5040"/>
          <w:tab w:val="left" w:pos="5760"/>
        </w:tabs>
        <w:autoSpaceDE w:val="0"/>
        <w:autoSpaceDN w:val="0"/>
        <w:adjustRightInd w:val="0"/>
        <w:spacing w:after="120"/>
        <w:ind w:left="720"/>
        <w:jc w:val="both"/>
        <w:rPr>
          <w:rFonts w:cs="Arial"/>
          <w:color w:val="000000" w:themeColor="text1"/>
        </w:rPr>
      </w:pPr>
      <w:r>
        <w:rPr>
          <w:rFonts w:cs="Arial"/>
          <w:color w:val="000000" w:themeColor="text1"/>
        </w:rPr>
        <w:t xml:space="preserve">D. those profits have always been kept in segregated </w:t>
      </w:r>
      <w:r w:rsidR="00EE2F34">
        <w:rPr>
          <w:rFonts w:cs="Arial"/>
          <w:color w:val="000000" w:themeColor="text1"/>
        </w:rPr>
        <w:t>“</w:t>
      </w:r>
      <w:r>
        <w:rPr>
          <w:rFonts w:cs="Arial"/>
          <w:color w:val="000000" w:themeColor="text1"/>
        </w:rPr>
        <w:t>supermarket operations only</w:t>
      </w:r>
      <w:r w:rsidR="00EE2F34">
        <w:rPr>
          <w:rFonts w:cs="Arial"/>
          <w:color w:val="000000" w:themeColor="text1"/>
        </w:rPr>
        <w:t xml:space="preserve">” </w:t>
      </w:r>
      <w:r>
        <w:rPr>
          <w:rFonts w:cs="Arial"/>
          <w:color w:val="000000" w:themeColor="text1"/>
        </w:rPr>
        <w:t>bank and investment accounts by United</w:t>
      </w:r>
      <w:r>
        <w:rPr>
          <w:rStyle w:val="FootnoteReference"/>
          <w:rFonts w:cs="Arial"/>
          <w:color w:val="000000" w:themeColor="text1"/>
        </w:rPr>
        <w:footnoteReference w:id="6"/>
      </w:r>
      <w:r>
        <w:rPr>
          <w:rFonts w:cs="Arial"/>
          <w:color w:val="000000" w:themeColor="text1"/>
        </w:rPr>
        <w:t xml:space="preserve"> -- requiring joint signatures and subject to joint access (defendants admit this but argue this does amount to control);</w:t>
      </w:r>
    </w:p>
    <w:p w:rsidR="006E4D00" w:rsidRDefault="006E4D00" w:rsidP="006E4D00">
      <w:pPr>
        <w:tabs>
          <w:tab w:val="left" w:pos="720"/>
          <w:tab w:val="left" w:pos="1440"/>
          <w:tab w:val="left" w:pos="2160"/>
          <w:tab w:val="left" w:pos="2880"/>
          <w:tab w:val="left" w:pos="3600"/>
          <w:tab w:val="left" w:pos="4320"/>
          <w:tab w:val="left" w:pos="5040"/>
          <w:tab w:val="left" w:pos="5760"/>
        </w:tabs>
        <w:autoSpaceDE w:val="0"/>
        <w:autoSpaceDN w:val="0"/>
        <w:adjustRightInd w:val="0"/>
        <w:ind w:left="720"/>
        <w:jc w:val="both"/>
        <w:rPr>
          <w:rFonts w:cs="Arial"/>
          <w:color w:val="000000" w:themeColor="text1"/>
        </w:rPr>
      </w:pPr>
      <w:r>
        <w:rPr>
          <w:rFonts w:cs="Arial"/>
          <w:color w:val="000000" w:themeColor="text1"/>
        </w:rPr>
        <w:t xml:space="preserve">E. United has transferred such funds and profits from these </w:t>
      </w:r>
      <w:r w:rsidR="00EE2F34">
        <w:rPr>
          <w:rFonts w:cs="Arial"/>
          <w:color w:val="000000" w:themeColor="text1"/>
        </w:rPr>
        <w:t>“</w:t>
      </w:r>
      <w:r>
        <w:rPr>
          <w:rFonts w:cs="Arial"/>
          <w:color w:val="000000" w:themeColor="text1"/>
        </w:rPr>
        <w:t>segregated</w:t>
      </w:r>
      <w:r w:rsidR="00EE2F34">
        <w:rPr>
          <w:rFonts w:cs="Arial"/>
          <w:color w:val="000000" w:themeColor="text1"/>
        </w:rPr>
        <w:t>” “</w:t>
      </w:r>
      <w:r>
        <w:rPr>
          <w:rFonts w:cs="Arial"/>
          <w:color w:val="000000" w:themeColor="text1"/>
        </w:rPr>
        <w:t>joint access</w:t>
      </w:r>
      <w:r w:rsidR="00EE2F34">
        <w:rPr>
          <w:rFonts w:cs="Arial"/>
          <w:color w:val="000000" w:themeColor="text1"/>
        </w:rPr>
        <w:t xml:space="preserve">” </w:t>
      </w:r>
      <w:r>
        <w:rPr>
          <w:rFonts w:cs="Arial"/>
          <w:color w:val="000000" w:themeColor="text1"/>
        </w:rPr>
        <w:t>supermarket accounts to accounts that are not jointly accessible</w:t>
      </w:r>
      <w:r w:rsidR="00CC584A">
        <w:rPr>
          <w:rFonts w:cs="Arial"/>
          <w:color w:val="000000" w:themeColor="text1"/>
        </w:rPr>
        <w:t>.</w:t>
      </w:r>
    </w:p>
    <w:p w:rsidR="006E4D00" w:rsidRDefault="006E4D00" w:rsidP="006E4D00">
      <w:pPr>
        <w:tabs>
          <w:tab w:val="left" w:pos="720"/>
          <w:tab w:val="left" w:pos="1440"/>
          <w:tab w:val="left" w:pos="2160"/>
          <w:tab w:val="left" w:pos="2880"/>
          <w:tab w:val="left" w:pos="3600"/>
          <w:tab w:val="left" w:pos="4320"/>
          <w:tab w:val="left" w:pos="5040"/>
          <w:tab w:val="left" w:pos="5760"/>
        </w:tabs>
        <w:autoSpaceDE w:val="0"/>
        <w:autoSpaceDN w:val="0"/>
        <w:adjustRightInd w:val="0"/>
        <w:ind w:left="720"/>
        <w:jc w:val="both"/>
        <w:rPr>
          <w:rFonts w:cs="Arial"/>
          <w:color w:val="000000" w:themeColor="text1"/>
        </w:rPr>
      </w:pPr>
    </w:p>
    <w:p w:rsidR="006E4D00" w:rsidRDefault="005525AA" w:rsidP="006E4D00">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 xml:space="preserve">Defendants’ </w:t>
      </w:r>
      <w:r w:rsidR="00863768">
        <w:rPr>
          <w:rFonts w:cs="Arial"/>
          <w:color w:val="000000" w:themeColor="text1"/>
        </w:rPr>
        <w:t xml:space="preserve">own memorandum concedes that plaintiff is entitled to 50% of the profits -- and do not dispute that they are sitting in the segregated United accounts </w:t>
      </w:r>
      <w:r w:rsidR="006D2801">
        <w:rPr>
          <w:rFonts w:cs="Arial"/>
          <w:color w:val="000000" w:themeColor="text1"/>
        </w:rPr>
        <w:t>solely related to the Plaza Extra supermarket operations</w:t>
      </w:r>
      <w:r w:rsidR="00863768">
        <w:rPr>
          <w:rFonts w:cs="Arial"/>
          <w:color w:val="000000" w:themeColor="text1"/>
        </w:rPr>
        <w:t xml:space="preserve">.  </w:t>
      </w:r>
      <w:r w:rsidR="006E4D00">
        <w:rPr>
          <w:rFonts w:cs="Arial"/>
          <w:color w:val="000000" w:themeColor="text1"/>
        </w:rPr>
        <w:t xml:space="preserve">Thus, it is difficult to understand why </w:t>
      </w:r>
      <w:r w:rsidR="0048746C">
        <w:rPr>
          <w:rFonts w:cs="Arial"/>
          <w:color w:val="000000" w:themeColor="text1"/>
        </w:rPr>
        <w:t>defendants</w:t>
      </w:r>
      <w:r w:rsidR="006E4D00">
        <w:rPr>
          <w:rFonts w:cs="Arial"/>
          <w:color w:val="000000" w:themeColor="text1"/>
        </w:rPr>
        <w:t xml:space="preserve"> do not think United is a proper defendant here.  </w:t>
      </w:r>
    </w:p>
    <w:p w:rsidR="006E4D00" w:rsidRPr="00DA2EB8" w:rsidRDefault="006E4D00" w:rsidP="006E4D00">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lastRenderedPageBreak/>
        <w:tab/>
        <w:t>In any event, Count III sets forth the elements of the cause of action being sought—</w:t>
      </w:r>
      <w:r w:rsidR="006D2801">
        <w:rPr>
          <w:rFonts w:cs="Arial"/>
          <w:color w:val="000000" w:themeColor="text1"/>
        </w:rPr>
        <w:t xml:space="preserve">piercing the corporate veil, </w:t>
      </w:r>
      <w:r>
        <w:rPr>
          <w:rFonts w:cs="Arial"/>
          <w:color w:val="000000" w:themeColor="text1"/>
        </w:rPr>
        <w:t xml:space="preserve">a constructive trust or finding of unjust enrichment—and the facts pled in the complaint, as incorporated by reference into Count III are sufficient to support the relief sought if those facts are proven. </w:t>
      </w:r>
      <w:r w:rsidR="00636371">
        <w:rPr>
          <w:rFonts w:cs="Arial"/>
          <w:color w:val="000000" w:themeColor="text1"/>
        </w:rPr>
        <w:t xml:space="preserve"> </w:t>
      </w:r>
      <w:r>
        <w:rPr>
          <w:rFonts w:cs="Arial"/>
          <w:color w:val="000000" w:themeColor="text1"/>
        </w:rPr>
        <w:t>Thus, the Rule 12(b)(6) motion as to Count III should be denied as well.</w:t>
      </w:r>
    </w:p>
    <w:p w:rsidR="006771E4" w:rsidRPr="00EC16E7" w:rsidRDefault="0048746C" w:rsidP="00DA2EB8">
      <w:pPr>
        <w:pStyle w:val="ListParagraph"/>
        <w:numPr>
          <w:ilvl w:val="0"/>
          <w:numId w:val="4"/>
        </w:numPr>
        <w:spacing w:line="480" w:lineRule="auto"/>
        <w:jc w:val="both"/>
        <w:rPr>
          <w:rFonts w:cs="Arial"/>
          <w:b/>
          <w:color w:val="000000" w:themeColor="text1"/>
          <w:u w:val="single"/>
        </w:rPr>
      </w:pPr>
      <w:r>
        <w:rPr>
          <w:rFonts w:cs="Arial"/>
          <w:b/>
          <w:bCs/>
          <w:color w:val="000000" w:themeColor="text1"/>
          <w:u w:val="single"/>
        </w:rPr>
        <w:t>Defendants</w:t>
      </w:r>
      <w:r w:rsidR="00DA2EB8" w:rsidRPr="00EC16E7">
        <w:rPr>
          <w:rFonts w:cs="Arial"/>
          <w:b/>
          <w:bCs/>
          <w:color w:val="000000" w:themeColor="text1"/>
          <w:u w:val="single"/>
        </w:rPr>
        <w:t>’ Remaining</w:t>
      </w:r>
      <w:r w:rsidR="00B02549" w:rsidRPr="00EC16E7">
        <w:rPr>
          <w:rFonts w:cs="Arial"/>
          <w:b/>
          <w:bCs/>
          <w:color w:val="000000" w:themeColor="text1"/>
          <w:u w:val="single"/>
        </w:rPr>
        <w:t xml:space="preserve"> </w:t>
      </w:r>
      <w:r w:rsidR="00ED0500" w:rsidRPr="00EC16E7">
        <w:rPr>
          <w:rFonts w:cs="Arial"/>
          <w:b/>
          <w:bCs/>
          <w:color w:val="000000" w:themeColor="text1"/>
          <w:u w:val="single"/>
        </w:rPr>
        <w:t xml:space="preserve">Factual </w:t>
      </w:r>
      <w:r w:rsidR="00B02549" w:rsidRPr="00EC16E7">
        <w:rPr>
          <w:rFonts w:cs="Arial"/>
          <w:b/>
          <w:bCs/>
          <w:color w:val="000000" w:themeColor="text1"/>
          <w:u w:val="single"/>
        </w:rPr>
        <w:t>Arguments</w:t>
      </w:r>
      <w:r w:rsidR="00ED0500" w:rsidRPr="00EC16E7">
        <w:rPr>
          <w:rFonts w:cs="Arial"/>
          <w:b/>
          <w:bCs/>
          <w:color w:val="000000" w:themeColor="text1"/>
          <w:u w:val="single"/>
        </w:rPr>
        <w:t xml:space="preserve"> and Defenses</w:t>
      </w:r>
    </w:p>
    <w:p w:rsidR="003E7133" w:rsidRDefault="0048746C" w:rsidP="003E7133">
      <w:pPr>
        <w:spacing w:line="480" w:lineRule="auto"/>
        <w:ind w:firstLine="720"/>
        <w:jc w:val="both"/>
        <w:rPr>
          <w:rFonts w:cs="Arial"/>
          <w:bCs/>
          <w:color w:val="000000" w:themeColor="text1"/>
        </w:rPr>
      </w:pPr>
      <w:r>
        <w:rPr>
          <w:rFonts w:cs="Arial"/>
          <w:bCs/>
          <w:color w:val="000000" w:themeColor="text1"/>
        </w:rPr>
        <w:t>Defendants</w:t>
      </w:r>
      <w:r w:rsidR="00C430A2">
        <w:rPr>
          <w:rFonts w:cs="Arial"/>
          <w:bCs/>
          <w:color w:val="000000" w:themeColor="text1"/>
        </w:rPr>
        <w:t xml:space="preserve"> failed to address the three counts in the amended complaint under the appropriate</w:t>
      </w:r>
      <w:r w:rsidR="003E7133">
        <w:rPr>
          <w:rFonts w:cs="Arial"/>
          <w:bCs/>
          <w:color w:val="000000" w:themeColor="text1"/>
        </w:rPr>
        <w:t xml:space="preserve"> Rule 12(b)(6</w:t>
      </w:r>
      <w:r w:rsidR="00C430A2">
        <w:rPr>
          <w:rFonts w:cs="Arial"/>
          <w:bCs/>
          <w:color w:val="000000" w:themeColor="text1"/>
        </w:rPr>
        <w:t xml:space="preserve">) procedure, as set forth in </w:t>
      </w:r>
      <w:r w:rsidR="00C430A2">
        <w:rPr>
          <w:rFonts w:cs="Arial"/>
          <w:bCs/>
          <w:i/>
          <w:color w:val="000000" w:themeColor="text1"/>
        </w:rPr>
        <w:t xml:space="preserve">Watts. </w:t>
      </w:r>
      <w:r w:rsidR="003069BE">
        <w:rPr>
          <w:rFonts w:cs="Arial"/>
          <w:bCs/>
          <w:i/>
          <w:color w:val="000000" w:themeColor="text1"/>
        </w:rPr>
        <w:t xml:space="preserve"> </w:t>
      </w:r>
      <w:r w:rsidR="00C430A2">
        <w:rPr>
          <w:rFonts w:cs="Arial"/>
          <w:bCs/>
          <w:color w:val="000000" w:themeColor="text1"/>
        </w:rPr>
        <w:t xml:space="preserve">Instead, </w:t>
      </w:r>
      <w:r>
        <w:rPr>
          <w:rFonts w:cs="Arial"/>
          <w:bCs/>
          <w:color w:val="000000" w:themeColor="text1"/>
        </w:rPr>
        <w:t>defendants</w:t>
      </w:r>
      <w:r w:rsidR="005D5709">
        <w:rPr>
          <w:rFonts w:cs="Arial"/>
          <w:bCs/>
          <w:color w:val="000000" w:themeColor="text1"/>
        </w:rPr>
        <w:t xml:space="preserve"> </w:t>
      </w:r>
      <w:r w:rsidR="006D2801">
        <w:rPr>
          <w:rFonts w:cs="Arial"/>
          <w:bCs/>
          <w:color w:val="000000" w:themeColor="text1"/>
        </w:rPr>
        <w:t xml:space="preserve">argue </w:t>
      </w:r>
      <w:r w:rsidR="003E7133">
        <w:rPr>
          <w:rFonts w:cs="Arial"/>
          <w:bCs/>
          <w:color w:val="000000" w:themeColor="text1"/>
        </w:rPr>
        <w:t>multiple</w:t>
      </w:r>
      <w:r w:rsidR="00ED0500">
        <w:rPr>
          <w:rFonts w:cs="Arial"/>
          <w:bCs/>
          <w:color w:val="000000" w:themeColor="text1"/>
        </w:rPr>
        <w:t xml:space="preserve"> (mostly factual)</w:t>
      </w:r>
      <w:r w:rsidR="003E7133">
        <w:rPr>
          <w:rFonts w:cs="Arial"/>
          <w:bCs/>
          <w:color w:val="000000" w:themeColor="text1"/>
        </w:rPr>
        <w:t xml:space="preserve"> </w:t>
      </w:r>
      <w:r w:rsidR="003E7133" w:rsidRPr="00EC16E7">
        <w:rPr>
          <w:rFonts w:cs="Arial"/>
          <w:bCs/>
          <w:i/>
          <w:color w:val="000000" w:themeColor="text1"/>
          <w:u w:val="single"/>
        </w:rPr>
        <w:t>defenses</w:t>
      </w:r>
      <w:r w:rsidR="003E7133">
        <w:rPr>
          <w:rFonts w:cs="Arial"/>
          <w:bCs/>
          <w:color w:val="000000" w:themeColor="text1"/>
        </w:rPr>
        <w:t xml:space="preserve"> to these well-</w:t>
      </w:r>
      <w:r w:rsidR="00C430A2">
        <w:rPr>
          <w:rFonts w:cs="Arial"/>
          <w:bCs/>
          <w:color w:val="000000" w:themeColor="text1"/>
        </w:rPr>
        <w:t>pleaded allegations</w:t>
      </w:r>
      <w:r w:rsidR="00ED0500">
        <w:rPr>
          <w:rFonts w:cs="Arial"/>
          <w:bCs/>
          <w:color w:val="000000" w:themeColor="text1"/>
        </w:rPr>
        <w:t xml:space="preserve">.  Such factual arguments and attempted legal defenses </w:t>
      </w:r>
      <w:r w:rsidR="00C430A2">
        <w:rPr>
          <w:rFonts w:cs="Arial"/>
          <w:bCs/>
          <w:color w:val="000000" w:themeColor="text1"/>
        </w:rPr>
        <w:t xml:space="preserve">are </w:t>
      </w:r>
      <w:r w:rsidR="00ED0500">
        <w:rPr>
          <w:rFonts w:cs="Arial"/>
          <w:bCs/>
          <w:color w:val="000000" w:themeColor="text1"/>
        </w:rPr>
        <w:t xml:space="preserve">wholly </w:t>
      </w:r>
      <w:r w:rsidR="00C430A2">
        <w:rPr>
          <w:rFonts w:cs="Arial"/>
          <w:bCs/>
          <w:color w:val="000000" w:themeColor="text1"/>
        </w:rPr>
        <w:t>inappropriate for a Rule 12(b)(6)</w:t>
      </w:r>
      <w:r w:rsidR="005D5709">
        <w:rPr>
          <w:rFonts w:cs="Arial"/>
          <w:bCs/>
          <w:color w:val="000000" w:themeColor="text1"/>
        </w:rPr>
        <w:t xml:space="preserve"> motion, which accepts all well-</w:t>
      </w:r>
      <w:r w:rsidR="00C430A2">
        <w:rPr>
          <w:rFonts w:cs="Arial"/>
          <w:bCs/>
          <w:color w:val="000000" w:themeColor="text1"/>
        </w:rPr>
        <w:t>pleaded facts as true.</w:t>
      </w:r>
      <w:r w:rsidR="003E7133">
        <w:rPr>
          <w:rFonts w:cs="Arial"/>
          <w:bCs/>
          <w:color w:val="000000" w:themeColor="text1"/>
        </w:rPr>
        <w:t xml:space="preserve"> </w:t>
      </w:r>
      <w:r w:rsidR="0087388E">
        <w:rPr>
          <w:rFonts w:cs="Arial"/>
          <w:bCs/>
          <w:color w:val="000000" w:themeColor="text1"/>
        </w:rPr>
        <w:t xml:space="preserve"> </w:t>
      </w:r>
      <w:r w:rsidR="003E7133">
        <w:rPr>
          <w:rFonts w:cs="Arial"/>
          <w:bCs/>
          <w:color w:val="000000" w:themeColor="text1"/>
        </w:rPr>
        <w:t>The plaintiff will briefly address these points</w:t>
      </w:r>
      <w:r w:rsidR="005D5709">
        <w:rPr>
          <w:rFonts w:cs="Arial"/>
          <w:bCs/>
          <w:color w:val="000000" w:themeColor="text1"/>
        </w:rPr>
        <w:t xml:space="preserve"> to show why they are not relevant here.</w:t>
      </w:r>
    </w:p>
    <w:p w:rsidR="003E7133" w:rsidRDefault="003E7133" w:rsidP="003E7133">
      <w:pPr>
        <w:spacing w:line="480" w:lineRule="auto"/>
        <w:jc w:val="both"/>
        <w:rPr>
          <w:rFonts w:cs="Arial"/>
        </w:rPr>
      </w:pPr>
      <w:r>
        <w:rPr>
          <w:rFonts w:cs="Arial"/>
        </w:rPr>
        <w:tab/>
        <w:t xml:space="preserve">For example, United </w:t>
      </w:r>
      <w:r w:rsidR="008D2EF1">
        <w:rPr>
          <w:rFonts w:cs="Arial"/>
        </w:rPr>
        <w:t xml:space="preserve">and Yusuf </w:t>
      </w:r>
      <w:r>
        <w:rPr>
          <w:rFonts w:cs="Arial"/>
        </w:rPr>
        <w:t xml:space="preserve">repeatedly state that there is no </w:t>
      </w:r>
      <w:r w:rsidRPr="00EC16E7">
        <w:rPr>
          <w:rFonts w:cs="Arial"/>
          <w:i/>
          <w:u w:val="single"/>
        </w:rPr>
        <w:t>written</w:t>
      </w:r>
      <w:r>
        <w:rPr>
          <w:rFonts w:cs="Arial"/>
        </w:rPr>
        <w:t xml:space="preserve"> formalization of this partnership</w:t>
      </w:r>
      <w:r w:rsidR="00ED0500">
        <w:rPr>
          <w:rFonts w:cs="Arial"/>
        </w:rPr>
        <w:t>.</w:t>
      </w:r>
      <w:r w:rsidR="0087388E">
        <w:rPr>
          <w:rFonts w:cs="Arial"/>
        </w:rPr>
        <w:t xml:space="preserve"> </w:t>
      </w:r>
      <w:r w:rsidR="00ED0500">
        <w:rPr>
          <w:rFonts w:cs="Arial"/>
        </w:rPr>
        <w:t xml:space="preserve"> However, </w:t>
      </w:r>
      <w:r w:rsidR="00ED0500">
        <w:rPr>
          <w:rFonts w:cs="Arial"/>
          <w:bCs/>
          <w:color w:val="000000" w:themeColor="text1"/>
        </w:rPr>
        <w:t>they</w:t>
      </w:r>
      <w:r>
        <w:rPr>
          <w:rFonts w:cs="Arial"/>
          <w:bCs/>
          <w:color w:val="000000" w:themeColor="text1"/>
        </w:rPr>
        <w:t xml:space="preserve"> concede that </w:t>
      </w:r>
      <w:r w:rsidR="00ED0500">
        <w:rPr>
          <w:rFonts w:cs="Arial"/>
          <w:bCs/>
          <w:color w:val="000000" w:themeColor="text1"/>
        </w:rPr>
        <w:t xml:space="preserve">under the UPA, </w:t>
      </w:r>
      <w:r>
        <w:rPr>
          <w:rFonts w:cs="Arial"/>
          <w:bCs/>
          <w:color w:val="000000" w:themeColor="text1"/>
        </w:rPr>
        <w:t xml:space="preserve">a partnership agreement need not be in writing. </w:t>
      </w:r>
      <w:r w:rsidR="0087388E">
        <w:rPr>
          <w:rFonts w:cs="Arial"/>
          <w:bCs/>
          <w:color w:val="000000" w:themeColor="text1"/>
        </w:rPr>
        <w:t xml:space="preserve"> </w:t>
      </w:r>
      <w:r>
        <w:rPr>
          <w:rFonts w:cs="Arial"/>
          <w:bCs/>
          <w:color w:val="000000" w:themeColor="text1"/>
        </w:rPr>
        <w:t xml:space="preserve">In fact, while irrelevant to this motion, </w:t>
      </w:r>
      <w:r>
        <w:rPr>
          <w:rFonts w:cs="Arial"/>
        </w:rPr>
        <w:t>Yusuf explained in his 2000 depos</w:t>
      </w:r>
      <w:r w:rsidR="005D5709">
        <w:rPr>
          <w:rFonts w:cs="Arial"/>
        </w:rPr>
        <w:t>i</w:t>
      </w:r>
      <w:r>
        <w:rPr>
          <w:rFonts w:cs="Arial"/>
        </w:rPr>
        <w:t xml:space="preserve">tion </w:t>
      </w:r>
      <w:r w:rsidRPr="00D17FB8">
        <w:rPr>
          <w:rFonts w:cs="Arial"/>
          <w:i/>
        </w:rPr>
        <w:t>why</w:t>
      </w:r>
      <w:r>
        <w:rPr>
          <w:rFonts w:cs="Arial"/>
        </w:rPr>
        <w:t xml:space="preserve"> </w:t>
      </w:r>
      <w:r w:rsidR="00ED0500">
        <w:rPr>
          <w:rFonts w:cs="Arial"/>
        </w:rPr>
        <w:t>there was no writing</w:t>
      </w:r>
      <w:r>
        <w:rPr>
          <w:rFonts w:cs="Arial"/>
        </w:rPr>
        <w:t xml:space="preserve"> (</w:t>
      </w:r>
      <w:r>
        <w:rPr>
          <w:rFonts w:cs="Arial"/>
          <w:b/>
        </w:rPr>
        <w:t>Exhibit 1</w:t>
      </w:r>
      <w:r>
        <w:rPr>
          <w:rFonts w:cs="Arial"/>
        </w:rPr>
        <w:t xml:space="preserve"> at </w:t>
      </w:r>
      <w:r w:rsidR="0087388E">
        <w:rPr>
          <w:rFonts w:cs="Arial"/>
        </w:rPr>
        <w:t>p</w:t>
      </w:r>
      <w:r>
        <w:rPr>
          <w:rFonts w:cs="Arial"/>
        </w:rPr>
        <w:t>p. 23</w:t>
      </w:r>
      <w:r w:rsidR="0087388E">
        <w:rPr>
          <w:rFonts w:cs="Arial"/>
        </w:rPr>
        <w:t>:18</w:t>
      </w:r>
      <w:r>
        <w:rPr>
          <w:rFonts w:cs="Arial"/>
        </w:rPr>
        <w:t>-24</w:t>
      </w:r>
      <w:r w:rsidR="0087388E">
        <w:rPr>
          <w:rFonts w:cs="Arial"/>
        </w:rPr>
        <w:t xml:space="preserve">:1, </w:t>
      </w:r>
      <w:r w:rsidR="008957EC">
        <w:rPr>
          <w:rFonts w:cs="Arial"/>
        </w:rPr>
        <w:t>4</w:t>
      </w:r>
      <w:r w:rsidR="0087388E">
        <w:rPr>
          <w:rFonts w:cs="Arial"/>
        </w:rPr>
        <w:t>-5</w:t>
      </w:r>
      <w:r>
        <w:rPr>
          <w:rFonts w:cs="Arial"/>
        </w:rPr>
        <w:t>)</w:t>
      </w:r>
      <w:r w:rsidR="00056723">
        <w:rPr>
          <w:rFonts w:cs="Arial"/>
        </w:rPr>
        <w:t xml:space="preserve"> (emphasis added)</w:t>
      </w:r>
      <w:r>
        <w:rPr>
          <w:rFonts w:cs="Arial"/>
        </w:rPr>
        <w:t>:</w:t>
      </w:r>
    </w:p>
    <w:p w:rsidR="003E7133" w:rsidRDefault="003E7133" w:rsidP="00D17FB8">
      <w:pPr>
        <w:spacing w:after="120"/>
        <w:ind w:left="720"/>
        <w:jc w:val="both"/>
        <w:rPr>
          <w:rFonts w:cs="Arial"/>
        </w:rPr>
      </w:pPr>
      <w:r w:rsidRPr="00581255">
        <w:rPr>
          <w:rFonts w:cs="Arial"/>
        </w:rPr>
        <w:t>But I want you please to be aware that my partner’s with me since 1984, and up to now his name is not in my corporation.</w:t>
      </w:r>
      <w:r>
        <w:rPr>
          <w:rFonts w:cs="Arial"/>
        </w:rPr>
        <w:t xml:space="preserve"> </w:t>
      </w:r>
      <w:r w:rsidRPr="00581255">
        <w:rPr>
          <w:rFonts w:cs="Arial"/>
        </w:rPr>
        <w:t xml:space="preserve"> And that -- excuse me and that prove my honesty.  Because if I was not honest, my brother-in-law will not let me control his 50 percent.  And I know very well, my wife knows, my children knows, </w:t>
      </w:r>
      <w:r w:rsidRPr="005608E9">
        <w:rPr>
          <w:rFonts w:cs="Arial"/>
        </w:rPr>
        <w:t xml:space="preserve">that whatever </w:t>
      </w:r>
      <w:r w:rsidRPr="005608E9">
        <w:rPr>
          <w:rFonts w:cs="Arial"/>
          <w:u w:val="single"/>
        </w:rPr>
        <w:t>Plaza Extra</w:t>
      </w:r>
      <w:r w:rsidRPr="005608E9">
        <w:rPr>
          <w:rFonts w:cs="Arial"/>
        </w:rPr>
        <w:t xml:space="preserve"> owns in assets, in receivable or payable, we have a 50 percent partner.</w:t>
      </w:r>
      <w:r>
        <w:rPr>
          <w:rFonts w:cs="Arial"/>
        </w:rPr>
        <w:t xml:space="preserve"> </w:t>
      </w:r>
    </w:p>
    <w:p w:rsidR="003E7133" w:rsidRPr="005608E9" w:rsidRDefault="003E7133" w:rsidP="003E7133">
      <w:pPr>
        <w:ind w:left="720" w:right="720"/>
        <w:jc w:val="both"/>
        <w:rPr>
          <w:rFonts w:cs="Arial"/>
        </w:rPr>
      </w:pPr>
      <w:r w:rsidRPr="0026461B">
        <w:rPr>
          <w:rFonts w:cs="Arial"/>
          <w:b/>
        </w:rPr>
        <w:t xml:space="preserve">But due to my honesty </w:t>
      </w:r>
      <w:r>
        <w:rPr>
          <w:rFonts w:cs="Arial"/>
          <w:b/>
        </w:rPr>
        <w:t xml:space="preserve">. . . </w:t>
      </w:r>
      <w:r w:rsidRPr="0026461B">
        <w:rPr>
          <w:rFonts w:cs="Arial"/>
          <w:b/>
        </w:rPr>
        <w:t xml:space="preserve">my partner, he never </w:t>
      </w:r>
      <w:proofErr w:type="gramStart"/>
      <w:r w:rsidRPr="0026461B">
        <w:rPr>
          <w:rFonts w:cs="Arial"/>
          <w:b/>
        </w:rPr>
        <w:t>have</w:t>
      </w:r>
      <w:proofErr w:type="gramEnd"/>
      <w:r w:rsidRPr="0026461B">
        <w:rPr>
          <w:rFonts w:cs="Arial"/>
          <w:b/>
        </w:rPr>
        <w:t xml:space="preserve"> it in</w:t>
      </w:r>
      <w:r>
        <w:rPr>
          <w:rFonts w:cs="Arial"/>
          <w:b/>
        </w:rPr>
        <w:t xml:space="preserve"> </w:t>
      </w:r>
      <w:r w:rsidR="008D2EF1">
        <w:rPr>
          <w:rFonts w:cs="Arial"/>
          <w:b/>
        </w:rPr>
        <w:t>w</w:t>
      </w:r>
      <w:r>
        <w:rPr>
          <w:rFonts w:cs="Arial"/>
          <w:b/>
        </w:rPr>
        <w:t xml:space="preserve">riting </w:t>
      </w:r>
      <w:r w:rsidRPr="0026461B">
        <w:rPr>
          <w:rFonts w:cs="Arial"/>
          <w:b/>
        </w:rPr>
        <w:t>from me.</w:t>
      </w:r>
      <w:r>
        <w:rPr>
          <w:rFonts w:cs="Arial"/>
          <w:b/>
        </w:rPr>
        <w:t xml:space="preserve"> </w:t>
      </w:r>
    </w:p>
    <w:p w:rsidR="003E7133" w:rsidRDefault="003E7133" w:rsidP="003E7133">
      <w:pPr>
        <w:ind w:left="720"/>
        <w:jc w:val="both"/>
        <w:rPr>
          <w:rFonts w:cs="Arial"/>
        </w:rPr>
      </w:pPr>
    </w:p>
    <w:p w:rsidR="003E7133" w:rsidRDefault="003E7133" w:rsidP="003E7133">
      <w:pPr>
        <w:spacing w:line="480" w:lineRule="auto"/>
        <w:jc w:val="both"/>
        <w:rPr>
          <w:rFonts w:cs="Arial"/>
          <w:bCs/>
          <w:color w:val="000000" w:themeColor="text1"/>
        </w:rPr>
      </w:pPr>
      <w:r>
        <w:rPr>
          <w:rFonts w:cs="Arial"/>
          <w:bCs/>
          <w:color w:val="000000" w:themeColor="text1"/>
        </w:rPr>
        <w:lastRenderedPageBreak/>
        <w:t>In any event, one need not have any written agreement</w:t>
      </w:r>
      <w:r w:rsidR="006D2801">
        <w:rPr>
          <w:rFonts w:cs="Arial"/>
          <w:bCs/>
          <w:color w:val="000000" w:themeColor="text1"/>
        </w:rPr>
        <w:t>, tax returns</w:t>
      </w:r>
      <w:r>
        <w:rPr>
          <w:rFonts w:cs="Arial"/>
          <w:bCs/>
          <w:color w:val="000000" w:themeColor="text1"/>
        </w:rPr>
        <w:t xml:space="preserve"> or other documentation before being able to plead a claim for relief that a partnership exists between the parties.</w:t>
      </w:r>
    </w:p>
    <w:p w:rsidR="00ED0500" w:rsidRDefault="003E7133" w:rsidP="00CA1819">
      <w:pPr>
        <w:spacing w:line="480" w:lineRule="auto"/>
        <w:jc w:val="both"/>
        <w:rPr>
          <w:rFonts w:cs="Arial"/>
        </w:rPr>
      </w:pPr>
      <w:r>
        <w:rPr>
          <w:rFonts w:cs="Arial"/>
          <w:bCs/>
          <w:color w:val="000000" w:themeColor="text1"/>
        </w:rPr>
        <w:t xml:space="preserve"> </w:t>
      </w:r>
      <w:r>
        <w:rPr>
          <w:rFonts w:cs="Arial"/>
          <w:bCs/>
          <w:color w:val="000000" w:themeColor="text1"/>
        </w:rPr>
        <w:tab/>
      </w:r>
      <w:r w:rsidR="0048746C">
        <w:rPr>
          <w:rFonts w:cs="Arial"/>
          <w:color w:val="000000" w:themeColor="text1"/>
        </w:rPr>
        <w:t>Defendants</w:t>
      </w:r>
      <w:r>
        <w:rPr>
          <w:rFonts w:cs="Arial"/>
          <w:bCs/>
        </w:rPr>
        <w:t xml:space="preserve"> also argue that the </w:t>
      </w:r>
      <w:r w:rsidR="00204568">
        <w:rPr>
          <w:rFonts w:cs="Arial"/>
          <w:bCs/>
        </w:rPr>
        <w:t xml:space="preserve">plaintiff’s </w:t>
      </w:r>
      <w:r w:rsidR="008D6889">
        <w:rPr>
          <w:rFonts w:cs="Arial"/>
          <w:bCs/>
        </w:rPr>
        <w:t>claim is somehow</w:t>
      </w:r>
      <w:r>
        <w:rPr>
          <w:rFonts w:cs="Arial"/>
          <w:bCs/>
        </w:rPr>
        <w:t xml:space="preserve"> inconsistent with what has transpired in the criminal case</w:t>
      </w:r>
      <w:r w:rsidR="007F4DDC">
        <w:rPr>
          <w:rFonts w:cs="Arial"/>
          <w:bCs/>
        </w:rPr>
        <w:t xml:space="preserve"> tax case against </w:t>
      </w:r>
      <w:r w:rsidR="0048746C">
        <w:rPr>
          <w:rFonts w:cs="Arial"/>
          <w:bCs/>
        </w:rPr>
        <w:t>defendants</w:t>
      </w:r>
      <w:r>
        <w:rPr>
          <w:rFonts w:cs="Arial"/>
          <w:bCs/>
        </w:rPr>
        <w:t xml:space="preserve">, so that the amended complaint is somehow subject to </w:t>
      </w:r>
      <w:r w:rsidR="007F4DDC">
        <w:rPr>
          <w:rFonts w:cs="Arial"/>
          <w:bCs/>
        </w:rPr>
        <w:t xml:space="preserve">dismissal under Rule 12(b)(6). </w:t>
      </w:r>
      <w:r w:rsidR="002A1276">
        <w:rPr>
          <w:rFonts w:cs="Arial"/>
          <w:bCs/>
        </w:rPr>
        <w:t xml:space="preserve"> </w:t>
      </w:r>
      <w:r w:rsidR="007F4DDC">
        <w:rPr>
          <w:rFonts w:cs="Arial"/>
          <w:bCs/>
        </w:rPr>
        <w:t>However, the doc</w:t>
      </w:r>
      <w:r w:rsidR="007B71F0">
        <w:rPr>
          <w:rFonts w:cs="Arial"/>
          <w:bCs/>
        </w:rPr>
        <w:t xml:space="preserve">trines of “issue preclusion,” </w:t>
      </w:r>
      <w:r w:rsidR="007F4DDC">
        <w:rPr>
          <w:rFonts w:cs="Arial"/>
          <w:bCs/>
        </w:rPr>
        <w:t xml:space="preserve">“judicial estoppel” </w:t>
      </w:r>
      <w:r w:rsidR="007B71F0">
        <w:rPr>
          <w:rFonts w:cs="Arial"/>
          <w:bCs/>
        </w:rPr>
        <w:t xml:space="preserve">and “estoppel” </w:t>
      </w:r>
      <w:r w:rsidR="007F4DDC">
        <w:rPr>
          <w:rFonts w:cs="Arial"/>
          <w:bCs/>
        </w:rPr>
        <w:t xml:space="preserve">are </w:t>
      </w:r>
      <w:r w:rsidR="00ED0500">
        <w:rPr>
          <w:rFonts w:cs="Arial"/>
          <w:bCs/>
        </w:rPr>
        <w:t xml:space="preserve">all </w:t>
      </w:r>
      <w:r w:rsidR="007F4DDC">
        <w:rPr>
          <w:rFonts w:cs="Arial"/>
          <w:bCs/>
        </w:rPr>
        <w:t>affirmative defenses that are not a proper basis for challenging the sufficiency of the pleadings</w:t>
      </w:r>
      <w:r w:rsidR="00ED0500">
        <w:rPr>
          <w:rFonts w:cs="Arial"/>
          <w:bCs/>
        </w:rPr>
        <w:t xml:space="preserve">.  They </w:t>
      </w:r>
      <w:r w:rsidR="007F4DDC">
        <w:rPr>
          <w:rFonts w:cs="Arial"/>
          <w:bCs/>
        </w:rPr>
        <w:t>go to the merits of the claim</w:t>
      </w:r>
      <w:r w:rsidR="008D2EF1">
        <w:rPr>
          <w:rFonts w:cs="Arial"/>
          <w:bCs/>
        </w:rPr>
        <w:t>,</w:t>
      </w:r>
      <w:r w:rsidR="007F4DDC">
        <w:rPr>
          <w:rFonts w:cs="Arial"/>
          <w:bCs/>
        </w:rPr>
        <w:t xml:space="preserve"> not whether a claim was properly pled. </w:t>
      </w:r>
      <w:r w:rsidR="002A1276">
        <w:rPr>
          <w:rFonts w:cs="Arial"/>
          <w:bCs/>
        </w:rPr>
        <w:t xml:space="preserve"> </w:t>
      </w:r>
      <w:r w:rsidR="00A27861">
        <w:rPr>
          <w:rFonts w:cs="Arial"/>
          <w:bCs/>
        </w:rPr>
        <w:t xml:space="preserve">Moreover, </w:t>
      </w:r>
      <w:r w:rsidR="00CA1819">
        <w:rPr>
          <w:rFonts w:cs="Arial"/>
          <w:bCs/>
        </w:rPr>
        <w:t>e</w:t>
      </w:r>
      <w:r w:rsidR="007F4DDC">
        <w:rPr>
          <w:rFonts w:cs="Arial"/>
          <w:bCs/>
        </w:rPr>
        <w:t>ven if they were proper defenses to be considered at this point,</w:t>
      </w:r>
      <w:r w:rsidR="007B71F0">
        <w:rPr>
          <w:rFonts w:cs="Arial"/>
          <w:bCs/>
        </w:rPr>
        <w:t xml:space="preserve"> they can be summarily rejected</w:t>
      </w:r>
      <w:r w:rsidR="007F4DDC">
        <w:rPr>
          <w:rFonts w:cs="Arial"/>
          <w:bCs/>
        </w:rPr>
        <w:t xml:space="preserve"> </w:t>
      </w:r>
      <w:r w:rsidR="007F4DDC" w:rsidRPr="007F4DDC">
        <w:rPr>
          <w:rFonts w:cs="Arial"/>
          <w:b/>
          <w:bCs/>
        </w:rPr>
        <w:t xml:space="preserve">as the plaintiff was </w:t>
      </w:r>
      <w:r w:rsidR="00CA1819">
        <w:rPr>
          <w:rFonts w:cs="Arial"/>
          <w:b/>
          <w:bCs/>
        </w:rPr>
        <w:t xml:space="preserve">not </w:t>
      </w:r>
      <w:r w:rsidR="007F4DDC" w:rsidRPr="007F4DDC">
        <w:rPr>
          <w:rFonts w:cs="Arial"/>
          <w:b/>
          <w:bCs/>
        </w:rPr>
        <w:t>a defendant</w:t>
      </w:r>
      <w:r w:rsidR="005D5709">
        <w:rPr>
          <w:rFonts w:cs="Arial"/>
          <w:b/>
          <w:bCs/>
        </w:rPr>
        <w:t xml:space="preserve"> in that</w:t>
      </w:r>
      <w:r w:rsidR="007F4DDC" w:rsidRPr="007F4DDC">
        <w:rPr>
          <w:rFonts w:cs="Arial"/>
          <w:b/>
          <w:bCs/>
        </w:rPr>
        <w:t xml:space="preserve"> </w:t>
      </w:r>
      <w:r w:rsidR="007F4DDC">
        <w:rPr>
          <w:rFonts w:cs="Arial"/>
          <w:b/>
          <w:bCs/>
        </w:rPr>
        <w:t>criminal case, so he cannot be bound by what transpired in those proceedings</w:t>
      </w:r>
      <w:r w:rsidR="00CA1819">
        <w:rPr>
          <w:rFonts w:cs="Arial"/>
          <w:bCs/>
        </w:rPr>
        <w:t xml:space="preserve">. </w:t>
      </w:r>
    </w:p>
    <w:p w:rsidR="008D6889" w:rsidRPr="00CA1819" w:rsidRDefault="008D6889" w:rsidP="00CA1819">
      <w:pPr>
        <w:spacing w:line="480" w:lineRule="auto"/>
        <w:jc w:val="both"/>
        <w:rPr>
          <w:rFonts w:cs="Arial"/>
          <w:bCs/>
        </w:rPr>
      </w:pPr>
      <w:r>
        <w:rPr>
          <w:rFonts w:cs="Arial"/>
        </w:rPr>
        <w:tab/>
      </w:r>
      <w:r w:rsidR="0048746C">
        <w:rPr>
          <w:rFonts w:cs="Arial"/>
        </w:rPr>
        <w:t>D</w:t>
      </w:r>
      <w:r w:rsidRPr="005875B0">
        <w:rPr>
          <w:rFonts w:cs="Arial"/>
          <w:color w:val="000000" w:themeColor="text1"/>
        </w:rPr>
        <w:t xml:space="preserve">efendants also argue </w:t>
      </w:r>
      <w:r>
        <w:rPr>
          <w:rFonts w:cs="Arial"/>
          <w:color w:val="000000" w:themeColor="text1"/>
        </w:rPr>
        <w:t xml:space="preserve">that </w:t>
      </w:r>
      <w:r w:rsidRPr="005875B0">
        <w:rPr>
          <w:rFonts w:cs="Arial"/>
          <w:color w:val="000000" w:themeColor="text1"/>
        </w:rPr>
        <w:t xml:space="preserve">the </w:t>
      </w:r>
      <w:r>
        <w:rPr>
          <w:rFonts w:cs="Arial"/>
          <w:color w:val="000000" w:themeColor="text1"/>
        </w:rPr>
        <w:t xml:space="preserve">affirmative defense of </w:t>
      </w:r>
      <w:r w:rsidRPr="00D17FB8">
        <w:rPr>
          <w:rFonts w:cs="Arial"/>
          <w:i/>
          <w:color w:val="000000" w:themeColor="text1"/>
        </w:rPr>
        <w:t>statute of frauds</w:t>
      </w:r>
      <w:r>
        <w:rPr>
          <w:rFonts w:cs="Arial"/>
          <w:color w:val="000000" w:themeColor="text1"/>
        </w:rPr>
        <w:t xml:space="preserve"> bar</w:t>
      </w:r>
      <w:r w:rsidR="008D2EF1">
        <w:rPr>
          <w:rFonts w:cs="Arial"/>
          <w:color w:val="000000" w:themeColor="text1"/>
        </w:rPr>
        <w:t>s</w:t>
      </w:r>
      <w:r>
        <w:rPr>
          <w:rFonts w:cs="Arial"/>
          <w:color w:val="000000" w:themeColor="text1"/>
        </w:rPr>
        <w:t xml:space="preserve"> this claim.  Again, this </w:t>
      </w:r>
      <w:r w:rsidRPr="00D17FB8">
        <w:rPr>
          <w:rFonts w:cs="Arial"/>
          <w:color w:val="000000" w:themeColor="text1"/>
          <w:u w:val="single"/>
        </w:rPr>
        <w:t>is</w:t>
      </w:r>
      <w:r>
        <w:rPr>
          <w:rFonts w:cs="Arial"/>
          <w:color w:val="000000" w:themeColor="text1"/>
        </w:rPr>
        <w:t xml:space="preserve"> an affirmative defense</w:t>
      </w:r>
      <w:r w:rsidR="008D2EF1">
        <w:rPr>
          <w:rFonts w:cs="Arial"/>
          <w:color w:val="000000" w:themeColor="text1"/>
        </w:rPr>
        <w:t xml:space="preserve">, and as such, </w:t>
      </w:r>
      <w:r>
        <w:rPr>
          <w:rFonts w:cs="Arial"/>
          <w:color w:val="000000" w:themeColor="text1"/>
        </w:rPr>
        <w:t>does not go to the sufficiency of the pleadings in the amended complaint.</w:t>
      </w:r>
      <w:r w:rsidR="00D87024">
        <w:rPr>
          <w:rFonts w:cs="Arial"/>
          <w:color w:val="000000" w:themeColor="text1"/>
        </w:rPr>
        <w:t xml:space="preserve"> </w:t>
      </w:r>
      <w:r>
        <w:rPr>
          <w:rFonts w:cs="Arial"/>
          <w:color w:val="000000" w:themeColor="text1"/>
        </w:rPr>
        <w:t xml:space="preserve"> Indeed, </w:t>
      </w:r>
      <w:r w:rsidR="00A85FBA">
        <w:rPr>
          <w:rFonts w:cs="Arial"/>
          <w:color w:val="000000" w:themeColor="text1"/>
        </w:rPr>
        <w:t xml:space="preserve">it is black letter law that </w:t>
      </w:r>
      <w:r>
        <w:rPr>
          <w:rFonts w:cs="Arial"/>
          <w:color w:val="000000" w:themeColor="text1"/>
        </w:rPr>
        <w:t xml:space="preserve">the statute of frauds </w:t>
      </w:r>
      <w:r w:rsidRPr="005875B0">
        <w:rPr>
          <w:rFonts w:cs="Arial"/>
          <w:color w:val="000000" w:themeColor="text1"/>
        </w:rPr>
        <w:t>do</w:t>
      </w:r>
      <w:r>
        <w:rPr>
          <w:rFonts w:cs="Arial"/>
          <w:color w:val="000000" w:themeColor="text1"/>
        </w:rPr>
        <w:t>es</w:t>
      </w:r>
      <w:r w:rsidRPr="005875B0">
        <w:rPr>
          <w:rFonts w:cs="Arial"/>
          <w:color w:val="000000" w:themeColor="text1"/>
        </w:rPr>
        <w:t xml:space="preserve"> not apply to </w:t>
      </w:r>
      <w:r>
        <w:rPr>
          <w:rFonts w:cs="Arial"/>
          <w:color w:val="000000" w:themeColor="text1"/>
        </w:rPr>
        <w:t xml:space="preserve">the </w:t>
      </w:r>
      <w:r w:rsidRPr="005875B0">
        <w:rPr>
          <w:rFonts w:cs="Arial"/>
          <w:color w:val="000000" w:themeColor="text1"/>
        </w:rPr>
        <w:t xml:space="preserve">oral formation of </w:t>
      </w:r>
      <w:r>
        <w:rPr>
          <w:rFonts w:cs="Arial"/>
          <w:color w:val="000000" w:themeColor="text1"/>
        </w:rPr>
        <w:t xml:space="preserve">a </w:t>
      </w:r>
      <w:r w:rsidRPr="005875B0">
        <w:rPr>
          <w:rFonts w:cs="Arial"/>
          <w:color w:val="000000" w:themeColor="text1"/>
        </w:rPr>
        <w:t>partne</w:t>
      </w:r>
      <w:r>
        <w:rPr>
          <w:rFonts w:cs="Arial"/>
          <w:color w:val="000000" w:themeColor="text1"/>
        </w:rPr>
        <w:t>rship</w:t>
      </w:r>
      <w:r w:rsidR="00427445">
        <w:rPr>
          <w:rFonts w:cs="Arial"/>
          <w:color w:val="000000" w:themeColor="text1"/>
        </w:rPr>
        <w:t>, which the d</w:t>
      </w:r>
      <w:r>
        <w:rPr>
          <w:rFonts w:cs="Arial"/>
          <w:color w:val="000000" w:themeColor="text1"/>
        </w:rPr>
        <w:t xml:space="preserve">efendants conceded </w:t>
      </w:r>
      <w:r w:rsidR="004E2DFB">
        <w:rPr>
          <w:rFonts w:cs="Arial"/>
          <w:color w:val="000000" w:themeColor="text1"/>
        </w:rPr>
        <w:t>i</w:t>
      </w:r>
      <w:r>
        <w:rPr>
          <w:rFonts w:cs="Arial"/>
          <w:color w:val="000000" w:themeColor="text1"/>
        </w:rPr>
        <w:t xml:space="preserve">n another section of their motion, acknowledging that a partnership need not be in writing. </w:t>
      </w:r>
      <w:r w:rsidR="004E2DFB">
        <w:rPr>
          <w:rFonts w:cs="Arial"/>
          <w:color w:val="000000" w:themeColor="text1"/>
        </w:rPr>
        <w:t xml:space="preserve"> </w:t>
      </w:r>
      <w:r>
        <w:rPr>
          <w:rFonts w:cs="Arial"/>
          <w:color w:val="000000" w:themeColor="text1"/>
        </w:rPr>
        <w:t>In fact</w:t>
      </w:r>
      <w:r w:rsidRPr="005875B0">
        <w:rPr>
          <w:rFonts w:cs="Arial"/>
          <w:color w:val="000000" w:themeColor="text1"/>
        </w:rPr>
        <w:t xml:space="preserve">, </w:t>
      </w:r>
      <w:r w:rsidR="004E2DFB">
        <w:rPr>
          <w:rFonts w:cs="Arial"/>
          <w:color w:val="000000" w:themeColor="text1"/>
        </w:rPr>
        <w:t>“</w:t>
      </w:r>
      <w:r w:rsidR="004E2DFB" w:rsidRPr="005875B0">
        <w:rPr>
          <w:rFonts w:cs="Arial"/>
          <w:color w:val="000000" w:themeColor="text1"/>
        </w:rPr>
        <w:t>[</w:t>
      </w:r>
      <w:r w:rsidRPr="005875B0">
        <w:rPr>
          <w:rFonts w:cs="Arial"/>
          <w:color w:val="000000" w:themeColor="text1"/>
        </w:rPr>
        <w:t>p]</w:t>
      </w:r>
      <w:proofErr w:type="spellStart"/>
      <w:r w:rsidRPr="005875B0">
        <w:rPr>
          <w:rFonts w:cs="Arial"/>
          <w:bCs/>
          <w:color w:val="000000" w:themeColor="text1"/>
        </w:rPr>
        <w:t>artnerships</w:t>
      </w:r>
      <w:proofErr w:type="spellEnd"/>
      <w:r w:rsidRPr="005875B0">
        <w:rPr>
          <w:rFonts w:cs="Arial"/>
          <w:color w:val="000000" w:themeColor="text1"/>
        </w:rPr>
        <w:t xml:space="preserve"> and joint ventures without fixed terms are deemed to be </w:t>
      </w:r>
      <w:r w:rsidR="004E2DFB">
        <w:rPr>
          <w:rFonts w:cs="Arial"/>
          <w:color w:val="000000" w:themeColor="text1"/>
        </w:rPr>
        <w:t>‘</w:t>
      </w:r>
      <w:r w:rsidRPr="005875B0">
        <w:rPr>
          <w:rFonts w:cs="Arial"/>
          <w:color w:val="000000" w:themeColor="text1"/>
        </w:rPr>
        <w:t>at will</w:t>
      </w:r>
      <w:r w:rsidR="004E2DFB">
        <w:rPr>
          <w:rFonts w:cs="Arial"/>
          <w:color w:val="000000" w:themeColor="text1"/>
        </w:rPr>
        <w:t>’</w:t>
      </w:r>
      <w:r w:rsidRPr="005875B0">
        <w:rPr>
          <w:rFonts w:cs="Arial"/>
          <w:color w:val="000000" w:themeColor="text1"/>
        </w:rPr>
        <w:t xml:space="preserve"> subject to dissolution by either partner at any time. Therefore, such agreements are not within the Statute of Frauds.</w:t>
      </w:r>
      <w:r w:rsidR="004E2DFB">
        <w:rPr>
          <w:rFonts w:cs="Arial"/>
          <w:color w:val="000000" w:themeColor="text1"/>
        </w:rPr>
        <w:t>”</w:t>
      </w:r>
      <w:r w:rsidRPr="005875B0">
        <w:rPr>
          <w:rFonts w:cs="Arial"/>
          <w:color w:val="000000" w:themeColor="text1"/>
        </w:rPr>
        <w:t xml:space="preserve"> </w:t>
      </w:r>
      <w:r w:rsidRPr="005875B0">
        <w:rPr>
          <w:rFonts w:cs="Arial"/>
          <w:i/>
          <w:color w:val="000000" w:themeColor="text1"/>
        </w:rPr>
        <w:t>Smith v. Robson</w:t>
      </w:r>
      <w:r w:rsidRPr="005875B0">
        <w:rPr>
          <w:rFonts w:cs="Arial"/>
          <w:color w:val="000000" w:themeColor="text1"/>
        </w:rPr>
        <w:t xml:space="preserve">, </w:t>
      </w:r>
      <w:r w:rsidRPr="005875B0">
        <w:rPr>
          <w:rFonts w:cs="Arial"/>
          <w:bCs/>
          <w:color w:val="000000" w:themeColor="text1"/>
        </w:rPr>
        <w:t>2001 WL 1464773</w:t>
      </w:r>
      <w:r w:rsidR="00AD616F">
        <w:rPr>
          <w:rFonts w:cs="Arial"/>
          <w:bCs/>
          <w:color w:val="000000" w:themeColor="text1"/>
        </w:rPr>
        <w:t>, 3</w:t>
      </w:r>
      <w:r w:rsidRPr="005875B0">
        <w:rPr>
          <w:rFonts w:cs="Arial"/>
          <w:bCs/>
          <w:color w:val="000000" w:themeColor="text1"/>
        </w:rPr>
        <w:t xml:space="preserve"> (Terr.Ct. 2001).</w:t>
      </w:r>
      <w:r>
        <w:rPr>
          <w:rStyle w:val="FootnoteReference"/>
          <w:rFonts w:cs="Arial"/>
          <w:bCs/>
          <w:color w:val="000000" w:themeColor="text1"/>
        </w:rPr>
        <w:footnoteReference w:id="7"/>
      </w:r>
      <w:r w:rsidRPr="005875B0">
        <w:rPr>
          <w:rFonts w:cs="Arial"/>
          <w:bCs/>
          <w:color w:val="000000" w:themeColor="text1"/>
        </w:rPr>
        <w:t xml:space="preserve"> </w:t>
      </w:r>
      <w:r w:rsidR="00D87024">
        <w:rPr>
          <w:rFonts w:cs="Arial"/>
          <w:bCs/>
          <w:color w:val="000000" w:themeColor="text1"/>
        </w:rPr>
        <w:t xml:space="preserve"> </w:t>
      </w:r>
      <w:r w:rsidRPr="005875B0">
        <w:rPr>
          <w:rFonts w:cs="Arial"/>
          <w:color w:val="000000" w:themeColor="text1"/>
        </w:rPr>
        <w:t xml:space="preserve">Therefore, </w:t>
      </w:r>
      <w:r>
        <w:rPr>
          <w:rFonts w:cs="Arial"/>
          <w:color w:val="000000" w:themeColor="text1"/>
        </w:rPr>
        <w:t>this affirmative defense does not warrant relief under Rule 12(b)(3) either.</w:t>
      </w:r>
    </w:p>
    <w:p w:rsidR="00C430A2" w:rsidRPr="00C430A2" w:rsidRDefault="003E7133" w:rsidP="007F4DDC">
      <w:pPr>
        <w:spacing w:line="480" w:lineRule="auto"/>
        <w:ind w:firstLine="720"/>
        <w:jc w:val="both"/>
        <w:rPr>
          <w:rFonts w:cs="Arial"/>
          <w:bCs/>
          <w:color w:val="000000" w:themeColor="text1"/>
        </w:rPr>
      </w:pPr>
      <w:r>
        <w:rPr>
          <w:rFonts w:cs="Arial"/>
          <w:bCs/>
          <w:color w:val="000000" w:themeColor="text1"/>
        </w:rPr>
        <w:lastRenderedPageBreak/>
        <w:t xml:space="preserve">In short, while </w:t>
      </w:r>
      <w:r w:rsidR="0048746C">
        <w:rPr>
          <w:rFonts w:cs="Arial"/>
          <w:bCs/>
          <w:color w:val="000000" w:themeColor="text1"/>
        </w:rPr>
        <w:t>defendants</w:t>
      </w:r>
      <w:r>
        <w:rPr>
          <w:rFonts w:cs="Arial"/>
          <w:bCs/>
          <w:color w:val="000000" w:themeColor="text1"/>
        </w:rPr>
        <w:t>’ arguments might be appropriate in a Rule 56 summary judgment motion, they do not warrant relief under Rule 12(b)(6), which only addresses the sufficiency of the pleadings, not the merits of the case.</w:t>
      </w:r>
    </w:p>
    <w:p w:rsidR="00684E5B" w:rsidRPr="00EC16E7" w:rsidRDefault="00684E5B" w:rsidP="00CA7421">
      <w:pPr>
        <w:pStyle w:val="ListParagraph"/>
        <w:numPr>
          <w:ilvl w:val="0"/>
          <w:numId w:val="4"/>
        </w:numPr>
        <w:spacing w:line="480" w:lineRule="auto"/>
        <w:jc w:val="both"/>
        <w:rPr>
          <w:rFonts w:cs="Arial"/>
          <w:b/>
          <w:bCs/>
          <w:color w:val="000000" w:themeColor="text1"/>
          <w:u w:val="single"/>
        </w:rPr>
      </w:pPr>
      <w:r w:rsidRPr="00EC16E7">
        <w:rPr>
          <w:rFonts w:cs="Arial"/>
          <w:b/>
          <w:bCs/>
          <w:color w:val="000000" w:themeColor="text1"/>
          <w:u w:val="single"/>
        </w:rPr>
        <w:t>Summary</w:t>
      </w:r>
    </w:p>
    <w:p w:rsidR="0080199C" w:rsidRPr="009E7894" w:rsidRDefault="006771E4" w:rsidP="009E7894">
      <w:pPr>
        <w:spacing w:line="480" w:lineRule="auto"/>
        <w:ind w:firstLine="720"/>
        <w:jc w:val="both"/>
        <w:rPr>
          <w:rFonts w:cs="Arial"/>
          <w:bCs/>
          <w:color w:val="000000" w:themeColor="text1"/>
        </w:rPr>
      </w:pPr>
      <w:r>
        <w:rPr>
          <w:rFonts w:cs="Arial"/>
          <w:bCs/>
          <w:color w:val="000000" w:themeColor="text1"/>
        </w:rPr>
        <w:t>In summary,</w:t>
      </w:r>
      <w:r w:rsidR="007F4DDC">
        <w:rPr>
          <w:rFonts w:cs="Arial"/>
          <w:bCs/>
          <w:color w:val="000000" w:themeColor="text1"/>
        </w:rPr>
        <w:t xml:space="preserve"> the plaintiff’s amended complaint meets the pleading requirements of the federal rules, so that </w:t>
      </w:r>
      <w:r w:rsidR="0048746C">
        <w:rPr>
          <w:rFonts w:cs="Arial"/>
          <w:bCs/>
          <w:color w:val="000000" w:themeColor="text1"/>
        </w:rPr>
        <w:t>defendants</w:t>
      </w:r>
      <w:r w:rsidR="007F4DDC">
        <w:rPr>
          <w:rFonts w:cs="Arial"/>
          <w:bCs/>
          <w:color w:val="000000" w:themeColor="text1"/>
        </w:rPr>
        <w:t>’ Rule 12(b)(6) motion should be denied.</w:t>
      </w:r>
    </w:p>
    <w:p w:rsidR="00FA27E7" w:rsidRPr="00F522D8" w:rsidRDefault="00215A53" w:rsidP="00A5565D">
      <w:pPr>
        <w:pStyle w:val="FootnoteText"/>
        <w:spacing w:line="480" w:lineRule="auto"/>
        <w:jc w:val="both"/>
        <w:rPr>
          <w:rFonts w:cs="Arial"/>
          <w:b/>
          <w:color w:val="000000" w:themeColor="text1"/>
          <w:sz w:val="24"/>
          <w:szCs w:val="24"/>
        </w:rPr>
      </w:pPr>
      <w:bookmarkStart w:id="10" w:name="SDU_11"/>
      <w:bookmarkStart w:id="11" w:name="SR;7291"/>
      <w:bookmarkStart w:id="12" w:name="SR;7315"/>
      <w:bookmarkStart w:id="13" w:name="SR;7317"/>
      <w:bookmarkStart w:id="14" w:name="SR;7385"/>
      <w:bookmarkEnd w:id="10"/>
      <w:bookmarkEnd w:id="11"/>
      <w:bookmarkEnd w:id="12"/>
      <w:bookmarkEnd w:id="13"/>
      <w:bookmarkEnd w:id="14"/>
      <w:r>
        <w:rPr>
          <w:rFonts w:cs="Arial"/>
          <w:b/>
          <w:color w:val="000000" w:themeColor="text1"/>
          <w:sz w:val="24"/>
          <w:szCs w:val="24"/>
        </w:rPr>
        <w:tab/>
      </w:r>
      <w:r w:rsidR="009E7894">
        <w:rPr>
          <w:rFonts w:cs="Arial"/>
          <w:b/>
          <w:color w:val="000000" w:themeColor="text1"/>
          <w:sz w:val="24"/>
          <w:szCs w:val="24"/>
        </w:rPr>
        <w:t>III</w:t>
      </w:r>
      <w:r w:rsidR="00FA27E7" w:rsidRPr="00F522D8">
        <w:rPr>
          <w:rFonts w:cs="Arial"/>
          <w:b/>
          <w:color w:val="000000" w:themeColor="text1"/>
          <w:sz w:val="24"/>
          <w:szCs w:val="24"/>
        </w:rPr>
        <w:t>. Motion for More Definite Statement</w:t>
      </w:r>
    </w:p>
    <w:p w:rsidR="00FA27E7" w:rsidRDefault="00FA27E7" w:rsidP="00FA27E7">
      <w:pPr>
        <w:tabs>
          <w:tab w:val="left" w:pos="720"/>
          <w:tab w:val="left" w:pos="1440"/>
          <w:tab w:val="left" w:pos="2160"/>
          <w:tab w:val="left" w:pos="2880"/>
          <w:tab w:val="left" w:pos="3600"/>
          <w:tab w:val="left" w:pos="4320"/>
          <w:tab w:val="left" w:pos="5040"/>
          <w:tab w:val="left" w:pos="5760"/>
        </w:tabs>
        <w:spacing w:line="480" w:lineRule="auto"/>
        <w:jc w:val="both"/>
        <w:rPr>
          <w:rFonts w:cs="Arial"/>
          <w:color w:val="000000" w:themeColor="text1"/>
        </w:rPr>
      </w:pPr>
      <w:r w:rsidRPr="00F522D8">
        <w:rPr>
          <w:rFonts w:cs="Arial"/>
          <w:color w:val="000000" w:themeColor="text1"/>
        </w:rPr>
        <w:tab/>
      </w:r>
      <w:r w:rsidR="0048746C">
        <w:rPr>
          <w:rFonts w:cs="Arial"/>
          <w:color w:val="000000" w:themeColor="text1"/>
        </w:rPr>
        <w:t>D</w:t>
      </w:r>
      <w:r w:rsidR="004029D3">
        <w:rPr>
          <w:rFonts w:cs="Arial"/>
          <w:color w:val="000000" w:themeColor="text1"/>
        </w:rPr>
        <w:t>efendants argue a</w:t>
      </w:r>
      <w:r w:rsidRPr="00F522D8">
        <w:rPr>
          <w:rFonts w:cs="Arial"/>
          <w:color w:val="000000" w:themeColor="text1"/>
        </w:rPr>
        <w:t>lternatively</w:t>
      </w:r>
      <w:r w:rsidR="007135C6">
        <w:rPr>
          <w:rFonts w:cs="Arial"/>
          <w:color w:val="000000" w:themeColor="text1"/>
        </w:rPr>
        <w:t>,</w:t>
      </w:r>
      <w:r w:rsidR="004029D3">
        <w:rPr>
          <w:rFonts w:cs="Arial"/>
          <w:color w:val="000000" w:themeColor="text1"/>
        </w:rPr>
        <w:t xml:space="preserve"> </w:t>
      </w:r>
      <w:r w:rsidR="00566E3A">
        <w:rPr>
          <w:rFonts w:cs="Arial"/>
          <w:color w:val="000000" w:themeColor="text1"/>
        </w:rPr>
        <w:t>under Rule 12(e)</w:t>
      </w:r>
      <w:r w:rsidR="007135C6">
        <w:rPr>
          <w:rFonts w:cs="Arial"/>
          <w:color w:val="000000" w:themeColor="text1"/>
        </w:rPr>
        <w:t>,</w:t>
      </w:r>
      <w:r w:rsidR="00566E3A">
        <w:rPr>
          <w:rFonts w:cs="Arial"/>
          <w:color w:val="000000" w:themeColor="text1"/>
        </w:rPr>
        <w:t xml:space="preserve"> </w:t>
      </w:r>
      <w:r w:rsidR="004029D3">
        <w:rPr>
          <w:rFonts w:cs="Arial"/>
          <w:color w:val="000000" w:themeColor="text1"/>
        </w:rPr>
        <w:t>that the plaintiff should be required to file a second amended complaint to address certain alleged deficien</w:t>
      </w:r>
      <w:r w:rsidR="00566E3A">
        <w:rPr>
          <w:rFonts w:cs="Arial"/>
          <w:color w:val="000000" w:themeColor="text1"/>
        </w:rPr>
        <w:t xml:space="preserve">cies in the amended complaint. </w:t>
      </w:r>
      <w:r w:rsidR="00D87024">
        <w:rPr>
          <w:rFonts w:cs="Arial"/>
          <w:color w:val="000000" w:themeColor="text1"/>
        </w:rPr>
        <w:t xml:space="preserve"> </w:t>
      </w:r>
      <w:r w:rsidR="00566E3A">
        <w:rPr>
          <w:rFonts w:cs="Arial"/>
          <w:color w:val="000000" w:themeColor="text1"/>
        </w:rPr>
        <w:t>For the reasons noted in the preceding section,</w:t>
      </w:r>
      <w:r w:rsidR="004029D3">
        <w:rPr>
          <w:rFonts w:cs="Arial"/>
          <w:color w:val="000000" w:themeColor="text1"/>
        </w:rPr>
        <w:t xml:space="preserve"> the plaintiff believes the amended complaint meets the required pleading standards,</w:t>
      </w:r>
      <w:r w:rsidR="005D5709">
        <w:rPr>
          <w:rFonts w:cs="Arial"/>
          <w:color w:val="000000" w:themeColor="text1"/>
        </w:rPr>
        <w:t xml:space="preserve"> so this aspect of</w:t>
      </w:r>
      <w:r w:rsidR="00566E3A">
        <w:rPr>
          <w:rFonts w:cs="Arial"/>
          <w:color w:val="000000" w:themeColor="text1"/>
        </w:rPr>
        <w:t xml:space="preserve"> </w:t>
      </w:r>
      <w:r w:rsidR="0048746C">
        <w:rPr>
          <w:rFonts w:cs="Arial"/>
          <w:color w:val="000000" w:themeColor="text1"/>
        </w:rPr>
        <w:t>defendants</w:t>
      </w:r>
      <w:r w:rsidR="00566E3A">
        <w:rPr>
          <w:rFonts w:cs="Arial"/>
          <w:color w:val="000000" w:themeColor="text1"/>
        </w:rPr>
        <w:t>’ Rule 12 motion should be denied as well.</w:t>
      </w:r>
      <w:r w:rsidR="00D87024">
        <w:rPr>
          <w:rFonts w:cs="Arial"/>
          <w:color w:val="000000" w:themeColor="text1"/>
        </w:rPr>
        <w:t xml:space="preserve"> </w:t>
      </w:r>
      <w:r w:rsidR="004029D3">
        <w:rPr>
          <w:rFonts w:cs="Arial"/>
          <w:color w:val="000000" w:themeColor="text1"/>
        </w:rPr>
        <w:t xml:space="preserve"> </w:t>
      </w:r>
      <w:r w:rsidR="00566E3A">
        <w:rPr>
          <w:rFonts w:cs="Arial"/>
          <w:color w:val="000000" w:themeColor="text1"/>
        </w:rPr>
        <w:t>However, i</w:t>
      </w:r>
      <w:r w:rsidRPr="00F522D8">
        <w:rPr>
          <w:rFonts w:cs="Arial"/>
          <w:color w:val="000000" w:themeColor="text1"/>
        </w:rPr>
        <w:t>f the Court believes more specific language is needed, then the plaint</w:t>
      </w:r>
      <w:r w:rsidR="004029D3">
        <w:rPr>
          <w:rFonts w:cs="Arial"/>
          <w:color w:val="000000" w:themeColor="text1"/>
        </w:rPr>
        <w:t xml:space="preserve">iff requests </w:t>
      </w:r>
      <w:r w:rsidRPr="00F522D8">
        <w:rPr>
          <w:rFonts w:cs="Arial"/>
          <w:color w:val="000000" w:themeColor="text1"/>
        </w:rPr>
        <w:t>leave to am</w:t>
      </w:r>
      <w:r w:rsidR="004029D3">
        <w:rPr>
          <w:rFonts w:cs="Arial"/>
          <w:color w:val="000000" w:themeColor="text1"/>
        </w:rPr>
        <w:t>end</w:t>
      </w:r>
      <w:r w:rsidR="00566E3A">
        <w:rPr>
          <w:rFonts w:cs="Arial"/>
          <w:color w:val="000000" w:themeColor="text1"/>
        </w:rPr>
        <w:t xml:space="preserve"> to address any such deficiencies as determined by the Court</w:t>
      </w:r>
      <w:r w:rsidRPr="00F522D8">
        <w:rPr>
          <w:rFonts w:cs="Arial"/>
          <w:color w:val="000000" w:themeColor="text1"/>
        </w:rPr>
        <w:t xml:space="preserve">, as </w:t>
      </w:r>
      <w:r w:rsidR="004029D3">
        <w:rPr>
          <w:rFonts w:cs="Arial"/>
          <w:color w:val="000000" w:themeColor="text1"/>
        </w:rPr>
        <w:t>requested by the defendant and</w:t>
      </w:r>
      <w:r w:rsidR="00566E3A">
        <w:rPr>
          <w:rFonts w:cs="Arial"/>
          <w:color w:val="000000" w:themeColor="text1"/>
        </w:rPr>
        <w:t>, more importantly,</w:t>
      </w:r>
      <w:r w:rsidR="004029D3">
        <w:rPr>
          <w:rFonts w:cs="Arial"/>
          <w:color w:val="000000" w:themeColor="text1"/>
        </w:rPr>
        <w:t xml:space="preserve"> as </w:t>
      </w:r>
      <w:r w:rsidRPr="00F522D8">
        <w:rPr>
          <w:rFonts w:cs="Arial"/>
          <w:color w:val="000000" w:themeColor="text1"/>
        </w:rPr>
        <w:t xml:space="preserve">counseled in </w:t>
      </w:r>
      <w:r w:rsidRPr="00F522D8">
        <w:rPr>
          <w:rFonts w:cs="Arial"/>
          <w:i/>
          <w:color w:val="000000" w:themeColor="text1"/>
        </w:rPr>
        <w:t>As</w:t>
      </w:r>
      <w:r w:rsidR="009B2806">
        <w:rPr>
          <w:rFonts w:cs="Arial"/>
          <w:i/>
          <w:color w:val="000000" w:themeColor="text1"/>
        </w:rPr>
        <w:t>h</w:t>
      </w:r>
      <w:r w:rsidRPr="00F522D8">
        <w:rPr>
          <w:rFonts w:cs="Arial"/>
          <w:i/>
          <w:color w:val="000000" w:themeColor="text1"/>
        </w:rPr>
        <w:t xml:space="preserve">croft v. Iqbal, </w:t>
      </w:r>
      <w:r w:rsidRPr="00F522D8">
        <w:rPr>
          <w:rFonts w:cs="Arial"/>
          <w:color w:val="000000" w:themeColor="text1"/>
        </w:rPr>
        <w:t xml:space="preserve">129 S.Ct. 1937, </w:t>
      </w:r>
      <w:r w:rsidR="00075D0D" w:rsidRPr="00F522D8">
        <w:rPr>
          <w:rFonts w:cs="Arial"/>
          <w:color w:val="000000" w:themeColor="text1"/>
        </w:rPr>
        <w:t>1</w:t>
      </w:r>
      <w:r w:rsidR="00075D0D">
        <w:rPr>
          <w:rFonts w:cs="Arial"/>
          <w:color w:val="000000" w:themeColor="text1"/>
        </w:rPr>
        <w:t>9</w:t>
      </w:r>
      <w:r w:rsidR="00075D0D" w:rsidRPr="00F522D8">
        <w:rPr>
          <w:rFonts w:cs="Arial"/>
          <w:color w:val="000000" w:themeColor="text1"/>
        </w:rPr>
        <w:t xml:space="preserve">54 </w:t>
      </w:r>
      <w:r w:rsidRPr="00F522D8">
        <w:rPr>
          <w:rFonts w:cs="Arial"/>
          <w:color w:val="000000" w:themeColor="text1"/>
        </w:rPr>
        <w:t xml:space="preserve">(2009), </w:t>
      </w:r>
      <w:r w:rsidRPr="00F522D8">
        <w:rPr>
          <w:rFonts w:cs="Arial"/>
          <w:i/>
          <w:color w:val="000000" w:themeColor="text1"/>
        </w:rPr>
        <w:t>Fowler v. UPMC Corporation</w:t>
      </w:r>
      <w:r w:rsidRPr="00F522D8">
        <w:rPr>
          <w:rFonts w:cs="Arial"/>
          <w:color w:val="000000" w:themeColor="text1"/>
        </w:rPr>
        <w:t>, 578 F.3d 203, 212 n.6 (3</w:t>
      </w:r>
      <w:r w:rsidRPr="00F522D8">
        <w:rPr>
          <w:rFonts w:cs="Arial"/>
          <w:color w:val="000000" w:themeColor="text1"/>
          <w:vertAlign w:val="superscript"/>
        </w:rPr>
        <w:t>rd</w:t>
      </w:r>
      <w:r w:rsidRPr="00F522D8">
        <w:rPr>
          <w:rFonts w:cs="Arial"/>
          <w:color w:val="000000" w:themeColor="text1"/>
        </w:rPr>
        <w:t xml:space="preserve"> Cir. 2009).</w:t>
      </w:r>
    </w:p>
    <w:p w:rsidR="00797A62" w:rsidRDefault="00215A53" w:rsidP="00797A62">
      <w:pPr>
        <w:pStyle w:val="FootnoteText"/>
        <w:spacing w:line="480" w:lineRule="auto"/>
        <w:jc w:val="both"/>
        <w:rPr>
          <w:rFonts w:cs="Arial"/>
          <w:b/>
          <w:color w:val="000000" w:themeColor="text1"/>
          <w:sz w:val="24"/>
          <w:szCs w:val="24"/>
        </w:rPr>
      </w:pPr>
      <w:r>
        <w:rPr>
          <w:rFonts w:cs="Arial"/>
          <w:b/>
          <w:color w:val="000000" w:themeColor="text1"/>
          <w:sz w:val="24"/>
          <w:szCs w:val="24"/>
        </w:rPr>
        <w:tab/>
      </w:r>
      <w:r w:rsidR="00EC49D1">
        <w:rPr>
          <w:rFonts w:cs="Arial"/>
          <w:b/>
          <w:color w:val="000000" w:themeColor="text1"/>
          <w:sz w:val="24"/>
          <w:szCs w:val="24"/>
        </w:rPr>
        <w:t>I</w:t>
      </w:r>
      <w:r w:rsidR="009E7894">
        <w:rPr>
          <w:rFonts w:cs="Arial"/>
          <w:b/>
          <w:color w:val="000000" w:themeColor="text1"/>
          <w:sz w:val="24"/>
          <w:szCs w:val="24"/>
        </w:rPr>
        <w:t>V</w:t>
      </w:r>
      <w:r w:rsidR="00FA27E7" w:rsidRPr="00F522D8">
        <w:rPr>
          <w:rFonts w:cs="Arial"/>
          <w:b/>
          <w:color w:val="000000" w:themeColor="text1"/>
          <w:sz w:val="24"/>
          <w:szCs w:val="24"/>
        </w:rPr>
        <w:t>. Motion to Strike</w:t>
      </w:r>
    </w:p>
    <w:p w:rsidR="00122498" w:rsidRPr="009E7894" w:rsidRDefault="003D5850" w:rsidP="009E7894">
      <w:pPr>
        <w:pStyle w:val="FootnoteText"/>
        <w:spacing w:line="480" w:lineRule="auto"/>
        <w:ind w:firstLine="720"/>
        <w:jc w:val="both"/>
        <w:rPr>
          <w:rFonts w:cs="Arial"/>
          <w:color w:val="000000" w:themeColor="text1"/>
          <w:sz w:val="24"/>
          <w:szCs w:val="24"/>
        </w:rPr>
      </w:pPr>
      <w:r>
        <w:rPr>
          <w:rFonts w:cs="Arial"/>
          <w:color w:val="000000" w:themeColor="text1"/>
          <w:sz w:val="24"/>
          <w:szCs w:val="24"/>
        </w:rPr>
        <w:t xml:space="preserve">Finally, </w:t>
      </w:r>
      <w:r w:rsidR="0048746C">
        <w:rPr>
          <w:rFonts w:cs="Arial"/>
          <w:color w:val="000000" w:themeColor="text1"/>
          <w:sz w:val="24"/>
          <w:szCs w:val="24"/>
        </w:rPr>
        <w:t>defendants</w:t>
      </w:r>
      <w:r>
        <w:rPr>
          <w:rFonts w:cs="Arial"/>
          <w:color w:val="000000" w:themeColor="text1"/>
          <w:sz w:val="24"/>
          <w:szCs w:val="24"/>
        </w:rPr>
        <w:t xml:space="preserve"> move</w:t>
      </w:r>
      <w:r w:rsidR="007135C6">
        <w:rPr>
          <w:rFonts w:cs="Arial"/>
          <w:color w:val="000000" w:themeColor="text1"/>
          <w:sz w:val="24"/>
          <w:szCs w:val="24"/>
        </w:rPr>
        <w:t>,</w:t>
      </w:r>
      <w:r w:rsidR="00566E3A">
        <w:rPr>
          <w:rFonts w:cs="Arial"/>
          <w:color w:val="000000" w:themeColor="text1"/>
          <w:sz w:val="24"/>
          <w:szCs w:val="24"/>
        </w:rPr>
        <w:t xml:space="preserve"> pursuant to Rule 12(f)</w:t>
      </w:r>
      <w:r w:rsidR="007135C6">
        <w:rPr>
          <w:rFonts w:cs="Arial"/>
          <w:color w:val="000000" w:themeColor="text1"/>
          <w:sz w:val="24"/>
          <w:szCs w:val="24"/>
        </w:rPr>
        <w:t>,</w:t>
      </w:r>
      <w:r>
        <w:rPr>
          <w:rFonts w:cs="Arial"/>
          <w:color w:val="000000" w:themeColor="text1"/>
          <w:sz w:val="24"/>
          <w:szCs w:val="24"/>
        </w:rPr>
        <w:t xml:space="preserve"> to strike certain attachments to the plaintiffs pleadings, arguing these are “settlement discussion</w:t>
      </w:r>
      <w:r w:rsidR="003D35D5">
        <w:rPr>
          <w:rFonts w:cs="Arial"/>
          <w:color w:val="000000" w:themeColor="text1"/>
          <w:sz w:val="24"/>
          <w:szCs w:val="24"/>
        </w:rPr>
        <w:t>s</w:t>
      </w:r>
      <w:r>
        <w:rPr>
          <w:rFonts w:cs="Arial"/>
          <w:color w:val="000000" w:themeColor="text1"/>
          <w:sz w:val="24"/>
          <w:szCs w:val="24"/>
        </w:rPr>
        <w:t xml:space="preserve">” that </w:t>
      </w:r>
      <w:r w:rsidRPr="009E7894">
        <w:rPr>
          <w:rFonts w:cs="Arial"/>
          <w:color w:val="000000" w:themeColor="text1"/>
          <w:sz w:val="24"/>
          <w:szCs w:val="24"/>
        </w:rPr>
        <w:t>are excludable under Rule 408.</w:t>
      </w:r>
      <w:r w:rsidR="00D87024">
        <w:rPr>
          <w:rFonts w:cs="Arial"/>
          <w:color w:val="000000" w:themeColor="text1"/>
          <w:sz w:val="24"/>
          <w:szCs w:val="24"/>
        </w:rPr>
        <w:t xml:space="preserve"> </w:t>
      </w:r>
      <w:r w:rsidRPr="009E7894">
        <w:rPr>
          <w:rFonts w:cs="Arial"/>
          <w:color w:val="000000" w:themeColor="text1"/>
          <w:sz w:val="24"/>
          <w:szCs w:val="24"/>
        </w:rPr>
        <w:t xml:space="preserve"> </w:t>
      </w:r>
      <w:r w:rsidR="00566E3A" w:rsidRPr="009E7894">
        <w:rPr>
          <w:rFonts w:cs="Arial"/>
          <w:color w:val="000000" w:themeColor="text1"/>
          <w:sz w:val="24"/>
          <w:szCs w:val="24"/>
        </w:rPr>
        <w:t>Rule 12(f) provid</w:t>
      </w:r>
      <w:r w:rsidR="009E7894" w:rsidRPr="009E7894">
        <w:rPr>
          <w:rFonts w:cs="Arial"/>
          <w:color w:val="000000" w:themeColor="text1"/>
          <w:sz w:val="24"/>
          <w:szCs w:val="24"/>
        </w:rPr>
        <w:t xml:space="preserve">es that a Court </w:t>
      </w:r>
      <w:r w:rsidR="006D286D">
        <w:rPr>
          <w:rFonts w:cs="Arial"/>
          <w:color w:val="000000" w:themeColor="text1"/>
          <w:sz w:val="24"/>
          <w:szCs w:val="24"/>
        </w:rPr>
        <w:t>“</w:t>
      </w:r>
      <w:r w:rsidR="00696E35" w:rsidRPr="009E7894">
        <w:rPr>
          <w:rFonts w:cs="Arial"/>
          <w:sz w:val="24"/>
          <w:szCs w:val="24"/>
        </w:rPr>
        <w:t xml:space="preserve">may strike from a pleading an </w:t>
      </w:r>
      <w:r w:rsidR="00696E35" w:rsidRPr="009E7894">
        <w:rPr>
          <w:rFonts w:cs="Arial"/>
          <w:sz w:val="24"/>
          <w:szCs w:val="24"/>
        </w:rPr>
        <w:lastRenderedPageBreak/>
        <w:t>insufficient defense or any redundant, immaterial, impertinent, or scandalous matter.</w:t>
      </w:r>
      <w:r w:rsidR="009E7894" w:rsidRPr="009E7894">
        <w:rPr>
          <w:rFonts w:cs="Arial"/>
          <w:sz w:val="24"/>
          <w:szCs w:val="24"/>
        </w:rPr>
        <w:t xml:space="preserve">” </w:t>
      </w:r>
      <w:r w:rsidR="00D87024">
        <w:rPr>
          <w:rFonts w:cs="Arial"/>
          <w:sz w:val="24"/>
          <w:szCs w:val="24"/>
        </w:rPr>
        <w:t xml:space="preserve"> </w:t>
      </w:r>
      <w:r w:rsidR="00122498" w:rsidRPr="009E7894">
        <w:rPr>
          <w:rFonts w:cs="Arial"/>
          <w:color w:val="000000" w:themeColor="text1"/>
          <w:sz w:val="24"/>
          <w:szCs w:val="24"/>
        </w:rPr>
        <w:t xml:space="preserve">As noted in </w:t>
      </w:r>
      <w:r w:rsidR="00122498" w:rsidRPr="009E7894">
        <w:rPr>
          <w:rFonts w:cs="Arial"/>
          <w:sz w:val="24"/>
          <w:szCs w:val="24"/>
        </w:rPr>
        <w:t xml:space="preserve">5C, </w:t>
      </w:r>
      <w:r w:rsidR="00122498" w:rsidRPr="009E7894">
        <w:rPr>
          <w:rFonts w:cs="Arial"/>
          <w:i/>
          <w:iCs/>
          <w:sz w:val="24"/>
          <w:szCs w:val="24"/>
        </w:rPr>
        <w:t xml:space="preserve">Wright &amp; Miller, Federal Practice and Procedure </w:t>
      </w:r>
      <w:r w:rsidR="00122498" w:rsidRPr="009E7894">
        <w:rPr>
          <w:rFonts w:cs="Arial"/>
          <w:sz w:val="24"/>
          <w:szCs w:val="24"/>
        </w:rPr>
        <w:t>(3</w:t>
      </w:r>
      <w:r w:rsidR="00122498" w:rsidRPr="009E7894">
        <w:rPr>
          <w:rFonts w:cs="Arial"/>
          <w:sz w:val="24"/>
          <w:szCs w:val="24"/>
          <w:vertAlign w:val="superscript"/>
        </w:rPr>
        <w:t>rd</w:t>
      </w:r>
      <w:r w:rsidR="00122498" w:rsidRPr="009E7894">
        <w:rPr>
          <w:rFonts w:cs="Arial"/>
          <w:sz w:val="24"/>
          <w:szCs w:val="24"/>
        </w:rPr>
        <w:t xml:space="preserve"> 2004) §1382:</w:t>
      </w:r>
    </w:p>
    <w:p w:rsidR="008259AD" w:rsidRDefault="008259AD" w:rsidP="00EC16E7">
      <w:pPr>
        <w:ind w:left="720"/>
        <w:jc w:val="both"/>
        <w:rPr>
          <w:rFonts w:cs="Arial"/>
        </w:rPr>
      </w:pPr>
      <w:r>
        <w:rPr>
          <w:rFonts w:cs="Arial"/>
        </w:rPr>
        <w:t xml:space="preserve">The district court possesses considerable discretion in disposing of a Rule 12(f) motion to strike redundant, impertinent, immaterial, or scandalous matter.  However, because federal judges have made it clear, in numerous opinions they have rendered in many substantive contexts, that </w:t>
      </w:r>
      <w:r w:rsidRPr="00D17FB8">
        <w:rPr>
          <w:rFonts w:cs="Arial"/>
          <w:b/>
        </w:rPr>
        <w:t>Rule 12(f) motions to strike on any of these grounds are not favored</w:t>
      </w:r>
      <w:r>
        <w:rPr>
          <w:rFonts w:cs="Arial"/>
        </w:rPr>
        <w:t xml:space="preserve">, often being considered purely cosmetic or “time wasters” there appears to be general judicial agreement, as reflected in the extensive case law on the subject, that they should be denied unless the challenged allegations have no possible relation or logical connection to the subject matter of the controversy.  </w:t>
      </w:r>
      <w:r w:rsidRPr="0056121A">
        <w:rPr>
          <w:rFonts w:cs="Arial"/>
          <w:i/>
          <w:iCs/>
        </w:rPr>
        <w:t>Id</w:t>
      </w:r>
      <w:r>
        <w:rPr>
          <w:rFonts w:cs="Arial"/>
          <w:i/>
          <w:iCs/>
        </w:rPr>
        <w:t>.</w:t>
      </w:r>
      <w:r>
        <w:rPr>
          <w:rFonts w:cs="Arial"/>
        </w:rPr>
        <w:t xml:space="preserve"> at 435 – 436 (footnotes omitted).</w:t>
      </w:r>
    </w:p>
    <w:p w:rsidR="008259AD" w:rsidRDefault="006D286D" w:rsidP="00EC2234">
      <w:pPr>
        <w:ind w:left="720"/>
        <w:jc w:val="center"/>
        <w:rPr>
          <w:rFonts w:cs="Arial"/>
        </w:rPr>
      </w:pPr>
      <w:r>
        <w:rPr>
          <w:rFonts w:cs="Arial"/>
        </w:rPr>
        <w:t xml:space="preserve">. . . </w:t>
      </w:r>
    </w:p>
    <w:p w:rsidR="008259AD" w:rsidRDefault="008259AD" w:rsidP="00EC16E7">
      <w:pPr>
        <w:ind w:left="720"/>
        <w:jc w:val="both"/>
        <w:rPr>
          <w:rFonts w:cs="Arial"/>
        </w:rPr>
      </w:pPr>
      <w:r>
        <w:rPr>
          <w:rFonts w:cs="Arial"/>
        </w:rPr>
        <w:t>It normally is apparent on the face of the pleading whether the challenged matter is objectionable under Rule 12(f)….</w:t>
      </w:r>
      <w:proofErr w:type="gramStart"/>
      <w:r>
        <w:rPr>
          <w:rFonts w:cs="Arial"/>
        </w:rPr>
        <w:t>Consequently,</w:t>
      </w:r>
      <w:proofErr w:type="gramEnd"/>
      <w:r>
        <w:rPr>
          <w:rFonts w:cs="Arial"/>
        </w:rPr>
        <w:t xml:space="preserve"> Rule 12(f) motions can and should be adjudicated with relative dispatch.  </w:t>
      </w:r>
      <w:r w:rsidRPr="00D17FB8">
        <w:rPr>
          <w:rFonts w:cs="Arial"/>
          <w:b/>
        </w:rPr>
        <w:t>The district court also should also refrain from becoming enmeshed in the merits of the action</w:t>
      </w:r>
      <w:r>
        <w:rPr>
          <w:rFonts w:cs="Arial"/>
        </w:rPr>
        <w:t xml:space="preserve">. . . . </w:t>
      </w:r>
      <w:r w:rsidRPr="0056121A">
        <w:rPr>
          <w:rFonts w:cs="Arial"/>
          <w:i/>
          <w:iCs/>
        </w:rPr>
        <w:t>Id</w:t>
      </w:r>
      <w:r w:rsidRPr="0056121A">
        <w:rPr>
          <w:rFonts w:cs="Arial"/>
        </w:rPr>
        <w:t>.</w:t>
      </w:r>
      <w:r>
        <w:rPr>
          <w:rFonts w:cs="Arial"/>
        </w:rPr>
        <w:t xml:space="preserve"> at 452.</w:t>
      </w:r>
      <w:r w:rsidR="007135C6">
        <w:rPr>
          <w:rFonts w:cs="Arial"/>
        </w:rPr>
        <w:t xml:space="preserve"> (Emphasis added.)</w:t>
      </w:r>
    </w:p>
    <w:p w:rsidR="00122498" w:rsidRDefault="00122498" w:rsidP="00122498">
      <w:pPr>
        <w:ind w:right="720"/>
        <w:jc w:val="both"/>
        <w:rPr>
          <w:rFonts w:cs="Arial"/>
        </w:rPr>
      </w:pPr>
    </w:p>
    <w:p w:rsidR="00122498" w:rsidRDefault="00122498" w:rsidP="00122498">
      <w:pPr>
        <w:ind w:right="720"/>
        <w:jc w:val="both"/>
        <w:rPr>
          <w:rFonts w:cs="Arial"/>
        </w:rPr>
      </w:pPr>
      <w:r>
        <w:rPr>
          <w:rFonts w:cs="Arial"/>
        </w:rPr>
        <w:t>Moreover, that section also notes as follows:</w:t>
      </w:r>
    </w:p>
    <w:p w:rsidR="00122498" w:rsidRDefault="00122498" w:rsidP="00122498">
      <w:pPr>
        <w:ind w:right="720"/>
        <w:jc w:val="both"/>
        <w:rPr>
          <w:rFonts w:cs="Arial"/>
        </w:rPr>
      </w:pPr>
    </w:p>
    <w:p w:rsidR="00122498" w:rsidRPr="008259AD" w:rsidRDefault="00122498" w:rsidP="00EC16E7">
      <w:pPr>
        <w:ind w:left="720"/>
        <w:jc w:val="both"/>
        <w:rPr>
          <w:rFonts w:cs="Arial"/>
        </w:rPr>
      </w:pPr>
      <w:r>
        <w:rPr>
          <w:rFonts w:cs="Arial"/>
        </w:rPr>
        <w:t>Any doubt about whether the challenged material is redundant</w:t>
      </w:r>
      <w:r w:rsidR="008259AD">
        <w:rPr>
          <w:rFonts w:cs="Arial"/>
        </w:rPr>
        <w:t>,</w:t>
      </w:r>
      <w:r>
        <w:rPr>
          <w:rFonts w:cs="Arial"/>
        </w:rPr>
        <w:t xml:space="preserve"> immaterial, impertinent, or scandalous should be resolved in favor of the non-mov</w:t>
      </w:r>
      <w:r w:rsidR="00A94030">
        <w:rPr>
          <w:rFonts w:cs="Arial"/>
        </w:rPr>
        <w:t>ing party. (</w:t>
      </w:r>
      <w:proofErr w:type="gramStart"/>
      <w:r w:rsidR="00A94030">
        <w:rPr>
          <w:rFonts w:cs="Arial"/>
        </w:rPr>
        <w:t>footnotes</w:t>
      </w:r>
      <w:proofErr w:type="gramEnd"/>
      <w:r w:rsidR="00A94030">
        <w:rPr>
          <w:rFonts w:cs="Arial"/>
        </w:rPr>
        <w:t xml:space="preserve"> omitted)(</w:t>
      </w:r>
      <w:proofErr w:type="gramStart"/>
      <w:r>
        <w:rPr>
          <w:rFonts w:cs="Arial"/>
        </w:rPr>
        <w:t>citing</w:t>
      </w:r>
      <w:proofErr w:type="gramEnd"/>
      <w:r>
        <w:rPr>
          <w:rFonts w:cs="Arial"/>
        </w:rPr>
        <w:t xml:space="preserve"> </w:t>
      </w:r>
      <w:proofErr w:type="spellStart"/>
      <w:r w:rsidRPr="00122498">
        <w:rPr>
          <w:rFonts w:cs="Arial"/>
          <w:i/>
        </w:rPr>
        <w:t>Sawo</w:t>
      </w:r>
      <w:proofErr w:type="spellEnd"/>
      <w:r w:rsidRPr="00122498">
        <w:rPr>
          <w:rFonts w:cs="Arial"/>
          <w:i/>
        </w:rPr>
        <w:t xml:space="preserve"> v Drury Hotels Co., LLC</w:t>
      </w:r>
      <w:r>
        <w:rPr>
          <w:rFonts w:cs="Arial"/>
        </w:rPr>
        <w:t xml:space="preserve">, 2011 WL 3611400 (D. Kan. 2011) and </w:t>
      </w:r>
      <w:r w:rsidRPr="00122498">
        <w:rPr>
          <w:rFonts w:cs="Arial"/>
          <w:i/>
        </w:rPr>
        <w:t xml:space="preserve">Lane v Endurance American Specialty Ins. Co., </w:t>
      </w:r>
      <w:r>
        <w:rPr>
          <w:rFonts w:cs="Arial"/>
        </w:rPr>
        <w:t>2011 WL 1343201 (W.D. N.C. 2011).</w:t>
      </w:r>
      <w:r w:rsidR="008259AD">
        <w:rPr>
          <w:rFonts w:cs="Arial"/>
        </w:rPr>
        <w:t xml:space="preserve"> </w:t>
      </w:r>
      <w:r w:rsidR="008259AD">
        <w:rPr>
          <w:rFonts w:cs="Arial"/>
          <w:i/>
        </w:rPr>
        <w:t xml:space="preserve">Id. </w:t>
      </w:r>
      <w:r w:rsidR="008259AD">
        <w:rPr>
          <w:rFonts w:cs="Arial"/>
        </w:rPr>
        <w:t>(Supp. 2012) at p. 96.</w:t>
      </w:r>
    </w:p>
    <w:p w:rsidR="00122498" w:rsidRDefault="00122498" w:rsidP="00122498">
      <w:pPr>
        <w:ind w:right="720"/>
        <w:jc w:val="both"/>
        <w:rPr>
          <w:rFonts w:cs="Arial"/>
        </w:rPr>
      </w:pPr>
    </w:p>
    <w:p w:rsidR="00696E35" w:rsidRDefault="0048746C" w:rsidP="00A94030">
      <w:pPr>
        <w:pStyle w:val="FootnoteText"/>
        <w:spacing w:line="480" w:lineRule="auto"/>
        <w:jc w:val="both"/>
        <w:rPr>
          <w:rFonts w:cs="Arial"/>
          <w:color w:val="000000" w:themeColor="text1"/>
          <w:sz w:val="24"/>
          <w:szCs w:val="24"/>
        </w:rPr>
      </w:pPr>
      <w:r>
        <w:rPr>
          <w:rFonts w:cs="Arial"/>
          <w:color w:val="000000" w:themeColor="text1"/>
          <w:sz w:val="24"/>
          <w:szCs w:val="24"/>
        </w:rPr>
        <w:t>D</w:t>
      </w:r>
      <w:r w:rsidR="00696E35">
        <w:rPr>
          <w:rFonts w:cs="Arial"/>
          <w:color w:val="000000" w:themeColor="text1"/>
          <w:sz w:val="24"/>
          <w:szCs w:val="24"/>
        </w:rPr>
        <w:t xml:space="preserve">efendants do not </w:t>
      </w:r>
      <w:r w:rsidR="003D35D5">
        <w:rPr>
          <w:rFonts w:cs="Arial"/>
          <w:color w:val="000000" w:themeColor="text1"/>
          <w:sz w:val="24"/>
          <w:szCs w:val="24"/>
        </w:rPr>
        <w:t xml:space="preserve">make </w:t>
      </w:r>
      <w:r w:rsidR="00427445">
        <w:rPr>
          <w:rFonts w:cs="Arial"/>
          <w:color w:val="000000" w:themeColor="text1"/>
          <w:sz w:val="24"/>
          <w:szCs w:val="24"/>
        </w:rPr>
        <w:t xml:space="preserve">it </w:t>
      </w:r>
      <w:r w:rsidR="003D35D5">
        <w:rPr>
          <w:rFonts w:cs="Arial"/>
          <w:color w:val="000000" w:themeColor="text1"/>
          <w:sz w:val="24"/>
          <w:szCs w:val="24"/>
        </w:rPr>
        <w:t xml:space="preserve">clear </w:t>
      </w:r>
      <w:r w:rsidR="00696E35">
        <w:rPr>
          <w:rFonts w:cs="Arial"/>
          <w:color w:val="000000" w:themeColor="text1"/>
          <w:sz w:val="24"/>
          <w:szCs w:val="24"/>
        </w:rPr>
        <w:t>which provision of Rule 12(f) they re</w:t>
      </w:r>
      <w:r w:rsidR="005D5709">
        <w:rPr>
          <w:rFonts w:cs="Arial"/>
          <w:color w:val="000000" w:themeColor="text1"/>
          <w:sz w:val="24"/>
          <w:szCs w:val="24"/>
        </w:rPr>
        <w:t>ly</w:t>
      </w:r>
      <w:r w:rsidR="00427445">
        <w:rPr>
          <w:rFonts w:cs="Arial"/>
          <w:color w:val="000000" w:themeColor="text1"/>
          <w:sz w:val="24"/>
          <w:szCs w:val="24"/>
        </w:rPr>
        <w:t xml:space="preserve"> upon</w:t>
      </w:r>
      <w:r w:rsidR="005D5709">
        <w:rPr>
          <w:rFonts w:cs="Arial"/>
          <w:color w:val="000000" w:themeColor="text1"/>
          <w:sz w:val="24"/>
          <w:szCs w:val="24"/>
        </w:rPr>
        <w:t>, as they instead go</w:t>
      </w:r>
      <w:r w:rsidR="00696E35">
        <w:rPr>
          <w:rFonts w:cs="Arial"/>
          <w:color w:val="000000" w:themeColor="text1"/>
          <w:sz w:val="24"/>
          <w:szCs w:val="24"/>
        </w:rPr>
        <w:t xml:space="preserve"> to the </w:t>
      </w:r>
      <w:r w:rsidR="003D35D5" w:rsidRPr="00D17FB8">
        <w:rPr>
          <w:rFonts w:cs="Arial"/>
          <w:i/>
          <w:color w:val="000000" w:themeColor="text1"/>
          <w:sz w:val="24"/>
          <w:szCs w:val="24"/>
        </w:rPr>
        <w:t xml:space="preserve">Federal </w:t>
      </w:r>
      <w:r w:rsidR="00696E35" w:rsidRPr="00D17FB8">
        <w:rPr>
          <w:rFonts w:cs="Arial"/>
          <w:i/>
          <w:color w:val="000000" w:themeColor="text1"/>
          <w:sz w:val="24"/>
          <w:szCs w:val="24"/>
        </w:rPr>
        <w:t>Rules of Evidence</w:t>
      </w:r>
      <w:r w:rsidR="00696E35">
        <w:rPr>
          <w:rFonts w:cs="Arial"/>
          <w:color w:val="000000" w:themeColor="text1"/>
          <w:sz w:val="24"/>
          <w:szCs w:val="24"/>
        </w:rPr>
        <w:t xml:space="preserve"> to support their contention that certain exhibits attached to the complaint are settlement discussions barred by Rule 408. </w:t>
      </w:r>
      <w:r w:rsidR="00E1118D">
        <w:rPr>
          <w:rFonts w:cs="Arial"/>
          <w:color w:val="000000" w:themeColor="text1"/>
          <w:sz w:val="24"/>
          <w:szCs w:val="24"/>
        </w:rPr>
        <w:t xml:space="preserve"> </w:t>
      </w:r>
      <w:r w:rsidR="005D5709">
        <w:rPr>
          <w:rFonts w:cs="Arial"/>
          <w:color w:val="000000" w:themeColor="text1"/>
          <w:sz w:val="24"/>
          <w:szCs w:val="24"/>
        </w:rPr>
        <w:t>T</w:t>
      </w:r>
      <w:r w:rsidR="001233A1">
        <w:rPr>
          <w:rFonts w:cs="Arial"/>
          <w:color w:val="000000" w:themeColor="text1"/>
          <w:sz w:val="24"/>
          <w:szCs w:val="24"/>
        </w:rPr>
        <w:t xml:space="preserve">his </w:t>
      </w:r>
      <w:r w:rsidR="00875470">
        <w:rPr>
          <w:rFonts w:cs="Arial"/>
          <w:color w:val="000000" w:themeColor="text1"/>
          <w:sz w:val="24"/>
          <w:szCs w:val="24"/>
        </w:rPr>
        <w:t>Rule 12</w:t>
      </w:r>
      <w:r w:rsidR="001233A1">
        <w:rPr>
          <w:rFonts w:cs="Arial"/>
          <w:color w:val="000000" w:themeColor="text1"/>
          <w:sz w:val="24"/>
          <w:szCs w:val="24"/>
        </w:rPr>
        <w:t>(f)</w:t>
      </w:r>
      <w:r w:rsidR="00875470">
        <w:rPr>
          <w:rFonts w:cs="Arial"/>
          <w:color w:val="000000" w:themeColor="text1"/>
          <w:sz w:val="24"/>
          <w:szCs w:val="24"/>
        </w:rPr>
        <w:t xml:space="preserve"> motion s</w:t>
      </w:r>
      <w:r w:rsidR="00A94030">
        <w:rPr>
          <w:rFonts w:cs="Arial"/>
          <w:color w:val="000000" w:themeColor="text1"/>
          <w:sz w:val="24"/>
          <w:szCs w:val="24"/>
        </w:rPr>
        <w:t>hould be denied for two separate and independent reasons.</w:t>
      </w:r>
    </w:p>
    <w:p w:rsidR="00797A62" w:rsidRDefault="00875470" w:rsidP="001233A1">
      <w:pPr>
        <w:pStyle w:val="FootnoteText"/>
        <w:spacing w:line="480" w:lineRule="auto"/>
        <w:ind w:firstLine="720"/>
        <w:jc w:val="both"/>
        <w:rPr>
          <w:rFonts w:cs="Arial"/>
          <w:color w:val="000000" w:themeColor="text1"/>
          <w:sz w:val="24"/>
          <w:szCs w:val="24"/>
        </w:rPr>
      </w:pPr>
      <w:r>
        <w:rPr>
          <w:rFonts w:cs="Arial"/>
          <w:color w:val="000000" w:themeColor="text1"/>
          <w:sz w:val="24"/>
          <w:szCs w:val="24"/>
        </w:rPr>
        <w:t xml:space="preserve">First, </w:t>
      </w:r>
      <w:r w:rsidR="003D5850">
        <w:rPr>
          <w:rFonts w:cs="Arial"/>
          <w:color w:val="000000" w:themeColor="text1"/>
          <w:sz w:val="24"/>
          <w:szCs w:val="24"/>
        </w:rPr>
        <w:t>it is premature to make such a</w:t>
      </w:r>
      <w:r w:rsidR="003D791D">
        <w:rPr>
          <w:rFonts w:cs="Arial"/>
          <w:color w:val="000000" w:themeColor="text1"/>
          <w:sz w:val="24"/>
          <w:szCs w:val="24"/>
        </w:rPr>
        <w:t>n</w:t>
      </w:r>
      <w:r w:rsidR="003D5850">
        <w:rPr>
          <w:rFonts w:cs="Arial"/>
          <w:color w:val="000000" w:themeColor="text1"/>
          <w:sz w:val="24"/>
          <w:szCs w:val="24"/>
        </w:rPr>
        <w:t xml:space="preserve"> evident</w:t>
      </w:r>
      <w:r>
        <w:rPr>
          <w:rFonts w:cs="Arial"/>
          <w:color w:val="000000" w:themeColor="text1"/>
          <w:sz w:val="24"/>
          <w:szCs w:val="24"/>
        </w:rPr>
        <w:t>iary ruling at this stage of the pleadings</w:t>
      </w:r>
      <w:r w:rsidR="003D5850">
        <w:rPr>
          <w:rFonts w:cs="Arial"/>
          <w:color w:val="000000" w:themeColor="text1"/>
          <w:sz w:val="24"/>
          <w:szCs w:val="24"/>
        </w:rPr>
        <w:t>.</w:t>
      </w:r>
      <w:r w:rsidR="003D5850" w:rsidRPr="00EC16E7">
        <w:rPr>
          <w:rFonts w:cs="Arial"/>
          <w:i/>
          <w:color w:val="000000" w:themeColor="text1"/>
          <w:sz w:val="24"/>
          <w:szCs w:val="24"/>
        </w:rPr>
        <w:t xml:space="preserve"> </w:t>
      </w:r>
      <w:r w:rsidRPr="00EC16E7">
        <w:rPr>
          <w:rFonts w:cs="Arial"/>
          <w:i/>
          <w:color w:val="000000" w:themeColor="text1"/>
          <w:sz w:val="24"/>
          <w:szCs w:val="24"/>
        </w:rPr>
        <w:t xml:space="preserve">See, e.g., </w:t>
      </w:r>
      <w:r w:rsidRPr="00875470">
        <w:rPr>
          <w:rFonts w:cs="Arial"/>
          <w:i/>
          <w:sz w:val="24"/>
          <w:szCs w:val="24"/>
        </w:rPr>
        <w:t>Donovan v. Quade</w:t>
      </w:r>
      <w:r w:rsidRPr="00875470">
        <w:rPr>
          <w:rFonts w:cs="Arial"/>
          <w:sz w:val="24"/>
          <w:szCs w:val="24"/>
        </w:rPr>
        <w:t>, 830 F.Supp.2d 460, 470-471 (N.D.Ill. 2011)</w:t>
      </w:r>
      <w:r>
        <w:rPr>
          <w:rFonts w:cs="Arial"/>
          <w:sz w:val="24"/>
          <w:szCs w:val="24"/>
        </w:rPr>
        <w:t xml:space="preserve"> (Rule 408 does not exclude evidence related to negotiations that show intent or knowledge).</w:t>
      </w:r>
      <w:r w:rsidR="008641A1">
        <w:rPr>
          <w:rFonts w:cs="Arial"/>
          <w:sz w:val="24"/>
          <w:szCs w:val="24"/>
        </w:rPr>
        <w:t xml:space="preserve"> </w:t>
      </w:r>
      <w:r w:rsidR="00E1118D">
        <w:rPr>
          <w:rFonts w:cs="Arial"/>
          <w:sz w:val="24"/>
          <w:szCs w:val="24"/>
        </w:rPr>
        <w:t xml:space="preserve"> </w:t>
      </w:r>
      <w:r w:rsidR="008641A1">
        <w:rPr>
          <w:rFonts w:cs="Arial"/>
          <w:sz w:val="24"/>
          <w:szCs w:val="24"/>
        </w:rPr>
        <w:t xml:space="preserve">Indeed, </w:t>
      </w:r>
      <w:r w:rsidR="003D35D5">
        <w:rPr>
          <w:rFonts w:cs="Arial"/>
          <w:sz w:val="24"/>
          <w:szCs w:val="24"/>
        </w:rPr>
        <w:t>at</w:t>
      </w:r>
      <w:r w:rsidR="008641A1">
        <w:rPr>
          <w:rFonts w:cs="Arial"/>
          <w:sz w:val="24"/>
          <w:szCs w:val="24"/>
        </w:rPr>
        <w:t xml:space="preserve"> </w:t>
      </w:r>
      <w:r w:rsidR="00427445">
        <w:rPr>
          <w:rFonts w:cs="Arial"/>
          <w:sz w:val="24"/>
          <w:szCs w:val="24"/>
        </w:rPr>
        <w:t xml:space="preserve">page </w:t>
      </w:r>
      <w:r w:rsidR="008641A1">
        <w:rPr>
          <w:rFonts w:cs="Arial"/>
          <w:sz w:val="24"/>
          <w:szCs w:val="24"/>
        </w:rPr>
        <w:t xml:space="preserve">6 of defendants’ memorandum, </w:t>
      </w:r>
      <w:r w:rsidR="003D35D5">
        <w:rPr>
          <w:rFonts w:cs="Arial"/>
          <w:sz w:val="24"/>
          <w:szCs w:val="24"/>
        </w:rPr>
        <w:t>they</w:t>
      </w:r>
      <w:r w:rsidR="008641A1">
        <w:rPr>
          <w:rFonts w:cs="Arial"/>
          <w:bCs/>
          <w:color w:val="000000"/>
          <w:sz w:val="24"/>
          <w:szCs w:val="24"/>
        </w:rPr>
        <w:t xml:space="preserve"> reference another letter</w:t>
      </w:r>
      <w:r w:rsidR="008641A1" w:rsidRPr="009A6DD9">
        <w:rPr>
          <w:rFonts w:cs="Arial"/>
          <w:bCs/>
          <w:color w:val="000000"/>
          <w:sz w:val="24"/>
          <w:szCs w:val="24"/>
        </w:rPr>
        <w:t xml:space="preserve"> in this chain of corr</w:t>
      </w:r>
      <w:r w:rsidR="008641A1">
        <w:rPr>
          <w:rFonts w:cs="Arial"/>
          <w:bCs/>
          <w:color w:val="000000"/>
          <w:sz w:val="24"/>
          <w:szCs w:val="24"/>
        </w:rPr>
        <w:t xml:space="preserve">espondence, so that they </w:t>
      </w:r>
      <w:r w:rsidR="008641A1" w:rsidRPr="009A6DD9">
        <w:rPr>
          <w:rFonts w:cs="Arial"/>
          <w:bCs/>
          <w:color w:val="000000"/>
          <w:sz w:val="24"/>
          <w:szCs w:val="24"/>
        </w:rPr>
        <w:t>cannot now be heard to protest about the other letters in the chain.</w:t>
      </w:r>
      <w:r w:rsidR="008641A1">
        <w:rPr>
          <w:rFonts w:cs="Arial"/>
          <w:bCs/>
          <w:color w:val="000000"/>
          <w:sz w:val="24"/>
          <w:szCs w:val="24"/>
        </w:rPr>
        <w:t xml:space="preserve"> </w:t>
      </w:r>
      <w:r w:rsidR="008641A1" w:rsidRPr="009A6DD9">
        <w:rPr>
          <w:rFonts w:cs="Arial"/>
          <w:bCs/>
          <w:color w:val="000000"/>
          <w:sz w:val="24"/>
          <w:szCs w:val="24"/>
        </w:rPr>
        <w:t xml:space="preserve"> </w:t>
      </w:r>
      <w:r w:rsidR="008641A1">
        <w:rPr>
          <w:rFonts w:eastAsiaTheme="minorEastAsia" w:cs="Arial"/>
          <w:sz w:val="24"/>
          <w:szCs w:val="24"/>
        </w:rPr>
        <w:t>O</w:t>
      </w:r>
      <w:r w:rsidR="008641A1" w:rsidRPr="00DE129B">
        <w:rPr>
          <w:rFonts w:eastAsiaTheme="minorEastAsia" w:cs="Arial"/>
          <w:sz w:val="24"/>
          <w:szCs w:val="24"/>
        </w:rPr>
        <w:t xml:space="preserve">nce </w:t>
      </w:r>
      <w:r w:rsidR="003D35D5">
        <w:rPr>
          <w:rFonts w:eastAsiaTheme="minorEastAsia" w:cs="Arial"/>
          <w:sz w:val="24"/>
          <w:szCs w:val="24"/>
        </w:rPr>
        <w:t xml:space="preserve">a </w:t>
      </w:r>
      <w:r w:rsidR="008641A1" w:rsidRPr="00DE129B">
        <w:rPr>
          <w:rFonts w:eastAsiaTheme="minorEastAsia" w:cs="Arial"/>
          <w:sz w:val="24"/>
          <w:szCs w:val="24"/>
        </w:rPr>
        <w:t xml:space="preserve">party attempting to exclude </w:t>
      </w:r>
      <w:r w:rsidR="008641A1">
        <w:rPr>
          <w:rFonts w:eastAsiaTheme="minorEastAsia" w:cs="Arial"/>
          <w:sz w:val="24"/>
          <w:szCs w:val="24"/>
        </w:rPr>
        <w:t xml:space="preserve">settlement evidence </w:t>
      </w:r>
      <w:r w:rsidR="008641A1" w:rsidRPr="00DE129B">
        <w:rPr>
          <w:rFonts w:eastAsiaTheme="minorEastAsia" w:cs="Arial"/>
          <w:sz w:val="24"/>
          <w:szCs w:val="24"/>
        </w:rPr>
        <w:lastRenderedPageBreak/>
        <w:t xml:space="preserve">has put one letter in </w:t>
      </w:r>
      <w:r w:rsidR="003D35D5">
        <w:rPr>
          <w:rFonts w:eastAsiaTheme="minorEastAsia" w:cs="Arial"/>
          <w:sz w:val="24"/>
          <w:szCs w:val="24"/>
        </w:rPr>
        <w:t xml:space="preserve">such a </w:t>
      </w:r>
      <w:r w:rsidR="008641A1" w:rsidRPr="00DE129B">
        <w:rPr>
          <w:rFonts w:eastAsiaTheme="minorEastAsia" w:cs="Arial"/>
          <w:sz w:val="24"/>
          <w:szCs w:val="24"/>
        </w:rPr>
        <w:t xml:space="preserve">chain before the Court, the others should be allowed. </w:t>
      </w:r>
      <w:r w:rsidR="008641A1">
        <w:rPr>
          <w:rFonts w:eastAsiaTheme="minorEastAsia" w:cs="Arial"/>
          <w:sz w:val="24"/>
          <w:szCs w:val="24"/>
        </w:rPr>
        <w:t xml:space="preserve"> </w:t>
      </w:r>
      <w:r w:rsidR="008641A1" w:rsidRPr="00DE129B">
        <w:rPr>
          <w:rFonts w:eastAsiaTheme="minorEastAsia" w:cs="Arial"/>
          <w:i/>
          <w:iCs/>
          <w:sz w:val="24"/>
          <w:szCs w:val="24"/>
        </w:rPr>
        <w:t>See e.g. Evans v. Covington</w:t>
      </w:r>
      <w:r w:rsidR="008641A1" w:rsidRPr="00DE129B">
        <w:rPr>
          <w:rFonts w:eastAsiaTheme="minorEastAsia" w:cs="Arial"/>
          <w:sz w:val="24"/>
          <w:szCs w:val="24"/>
        </w:rPr>
        <w:t>, 795 S.W.2d 806, 809 (Tex.</w:t>
      </w:r>
      <w:r w:rsidR="00056723">
        <w:rPr>
          <w:rFonts w:eastAsiaTheme="minorEastAsia" w:cs="Arial"/>
          <w:sz w:val="24"/>
          <w:szCs w:val="24"/>
        </w:rPr>
        <w:t xml:space="preserve"> </w:t>
      </w:r>
      <w:r w:rsidR="008641A1" w:rsidRPr="00DE129B">
        <w:rPr>
          <w:rFonts w:eastAsiaTheme="minorEastAsia" w:cs="Arial"/>
          <w:sz w:val="24"/>
          <w:szCs w:val="24"/>
        </w:rPr>
        <w:t>App.</w:t>
      </w:r>
      <w:r w:rsidR="008641A1">
        <w:rPr>
          <w:rFonts w:eastAsiaTheme="minorEastAsia" w:cs="Arial"/>
          <w:sz w:val="24"/>
          <w:szCs w:val="24"/>
        </w:rPr>
        <w:t xml:space="preserve"> </w:t>
      </w:r>
      <w:r w:rsidR="008641A1" w:rsidRPr="00DE129B">
        <w:rPr>
          <w:rFonts w:eastAsiaTheme="minorEastAsia" w:cs="Arial"/>
          <w:sz w:val="24"/>
          <w:szCs w:val="24"/>
        </w:rPr>
        <w:t>1990) (</w:t>
      </w:r>
      <w:r w:rsidR="008641A1">
        <w:rPr>
          <w:rFonts w:eastAsiaTheme="minorEastAsia" w:cs="Arial"/>
          <w:sz w:val="24"/>
          <w:szCs w:val="24"/>
        </w:rPr>
        <w:t>“</w:t>
      </w:r>
      <w:r w:rsidR="008641A1" w:rsidRPr="00DE129B">
        <w:rPr>
          <w:rFonts w:eastAsiaTheme="minorEastAsia" w:cs="Arial"/>
          <w:sz w:val="24"/>
          <w:szCs w:val="24"/>
        </w:rPr>
        <w:t>One may not complain of improper evidence produced by the other side when he has introduced the same</w:t>
      </w:r>
      <w:r w:rsidR="008641A1">
        <w:rPr>
          <w:rFonts w:eastAsiaTheme="minorEastAsia" w:cs="Arial"/>
          <w:sz w:val="24"/>
          <w:szCs w:val="24"/>
        </w:rPr>
        <w:t xml:space="preserve"> </w:t>
      </w:r>
      <w:r w:rsidR="008641A1" w:rsidRPr="00DE129B">
        <w:rPr>
          <w:rFonts w:eastAsiaTheme="minorEastAsia" w:cs="Arial"/>
          <w:sz w:val="24"/>
          <w:szCs w:val="24"/>
        </w:rPr>
        <w:t>evidence or evidence of a similar character</w:t>
      </w:r>
      <w:r w:rsidR="008641A1">
        <w:rPr>
          <w:rFonts w:eastAsiaTheme="minorEastAsia" w:cs="Arial"/>
          <w:sz w:val="24"/>
          <w:szCs w:val="24"/>
        </w:rPr>
        <w:t>”</w:t>
      </w:r>
      <w:r w:rsidR="008641A1" w:rsidRPr="00DE129B">
        <w:rPr>
          <w:rFonts w:eastAsiaTheme="minorEastAsia" w:cs="Arial"/>
          <w:sz w:val="24"/>
          <w:szCs w:val="24"/>
        </w:rPr>
        <w:t>).</w:t>
      </w:r>
      <w:r w:rsidR="008641A1">
        <w:rPr>
          <w:rFonts w:eastAsiaTheme="minorEastAsia" w:cs="Arial"/>
          <w:sz w:val="24"/>
          <w:szCs w:val="24"/>
        </w:rPr>
        <w:t xml:space="preserve"> </w:t>
      </w:r>
      <w:r w:rsidR="00E1118D">
        <w:rPr>
          <w:rFonts w:eastAsiaTheme="minorEastAsia" w:cs="Arial"/>
          <w:sz w:val="24"/>
          <w:szCs w:val="24"/>
        </w:rPr>
        <w:t xml:space="preserve"> </w:t>
      </w:r>
      <w:r w:rsidR="008641A1">
        <w:rPr>
          <w:rFonts w:eastAsiaTheme="minorEastAsia" w:cs="Arial"/>
          <w:sz w:val="24"/>
          <w:szCs w:val="24"/>
        </w:rPr>
        <w:t>In short, thi</w:t>
      </w:r>
      <w:r w:rsidR="00A94030">
        <w:rPr>
          <w:rFonts w:eastAsiaTheme="minorEastAsia" w:cs="Arial"/>
          <w:sz w:val="24"/>
          <w:szCs w:val="24"/>
        </w:rPr>
        <w:t xml:space="preserve">s issue is not a proper one </w:t>
      </w:r>
      <w:r w:rsidR="008641A1">
        <w:rPr>
          <w:rFonts w:eastAsiaTheme="minorEastAsia" w:cs="Arial"/>
          <w:sz w:val="24"/>
          <w:szCs w:val="24"/>
        </w:rPr>
        <w:t>a Rule 12(f) motion</w:t>
      </w:r>
      <w:r w:rsidR="00A94030">
        <w:rPr>
          <w:rFonts w:eastAsiaTheme="minorEastAsia" w:cs="Arial"/>
          <w:sz w:val="24"/>
          <w:szCs w:val="24"/>
        </w:rPr>
        <w:t xml:space="preserve"> to strike</w:t>
      </w:r>
      <w:r w:rsidR="008641A1">
        <w:rPr>
          <w:rFonts w:eastAsiaTheme="minorEastAsia" w:cs="Arial"/>
          <w:sz w:val="24"/>
          <w:szCs w:val="24"/>
        </w:rPr>
        <w:t>, as it premature to make such an evidentiary</w:t>
      </w:r>
      <w:r w:rsidR="00922362">
        <w:rPr>
          <w:rFonts w:eastAsiaTheme="minorEastAsia" w:cs="Arial"/>
          <w:sz w:val="24"/>
          <w:szCs w:val="24"/>
        </w:rPr>
        <w:t xml:space="preserve"> ruling at this </w:t>
      </w:r>
      <w:r w:rsidR="00A94030">
        <w:rPr>
          <w:rFonts w:eastAsiaTheme="minorEastAsia" w:cs="Arial"/>
          <w:sz w:val="24"/>
          <w:szCs w:val="24"/>
        </w:rPr>
        <w:t xml:space="preserve">early </w:t>
      </w:r>
      <w:r w:rsidR="00922362">
        <w:rPr>
          <w:rFonts w:eastAsiaTheme="minorEastAsia" w:cs="Arial"/>
          <w:sz w:val="24"/>
          <w:szCs w:val="24"/>
        </w:rPr>
        <w:t>stage of the pl</w:t>
      </w:r>
      <w:r w:rsidR="008641A1">
        <w:rPr>
          <w:rFonts w:eastAsiaTheme="minorEastAsia" w:cs="Arial"/>
          <w:sz w:val="24"/>
          <w:szCs w:val="24"/>
        </w:rPr>
        <w:t>eadings.</w:t>
      </w:r>
      <w:r w:rsidR="007135C6">
        <w:rPr>
          <w:rFonts w:eastAsiaTheme="minorEastAsia" w:cs="Arial"/>
          <w:sz w:val="24"/>
          <w:szCs w:val="24"/>
        </w:rPr>
        <w:t xml:space="preserve">  </w:t>
      </w:r>
      <w:r w:rsidR="00E1118D">
        <w:rPr>
          <w:rFonts w:eastAsiaTheme="minorEastAsia" w:cs="Arial"/>
          <w:sz w:val="24"/>
          <w:szCs w:val="24"/>
        </w:rPr>
        <w:t>Moreover</w:t>
      </w:r>
      <w:r w:rsidR="00427445">
        <w:rPr>
          <w:rFonts w:eastAsiaTheme="minorEastAsia" w:cs="Arial"/>
          <w:sz w:val="24"/>
          <w:szCs w:val="24"/>
        </w:rPr>
        <w:t>, a</w:t>
      </w:r>
      <w:r w:rsidR="007135C6">
        <w:rPr>
          <w:rFonts w:eastAsiaTheme="minorEastAsia" w:cs="Arial"/>
          <w:sz w:val="24"/>
          <w:szCs w:val="24"/>
        </w:rPr>
        <w:t xml:space="preserve">s </w:t>
      </w:r>
      <w:r w:rsidR="00427445">
        <w:rPr>
          <w:rFonts w:eastAsiaTheme="minorEastAsia" w:cs="Arial"/>
          <w:sz w:val="24"/>
          <w:szCs w:val="24"/>
        </w:rPr>
        <w:t xml:space="preserve">the response to the defendants’ Rule 12 motion does not </w:t>
      </w:r>
      <w:r w:rsidR="00D17FB8">
        <w:rPr>
          <w:rFonts w:eastAsiaTheme="minorEastAsia" w:cs="Arial"/>
          <w:sz w:val="24"/>
          <w:szCs w:val="24"/>
        </w:rPr>
        <w:t>rely upon</w:t>
      </w:r>
      <w:r w:rsidR="00427445">
        <w:rPr>
          <w:rFonts w:eastAsiaTheme="minorEastAsia" w:cs="Arial"/>
          <w:sz w:val="24"/>
          <w:szCs w:val="24"/>
        </w:rPr>
        <w:t xml:space="preserve"> any of </w:t>
      </w:r>
      <w:r w:rsidR="007135C6">
        <w:rPr>
          <w:rFonts w:eastAsiaTheme="minorEastAsia" w:cs="Arial"/>
          <w:sz w:val="24"/>
          <w:szCs w:val="24"/>
        </w:rPr>
        <w:t>these documents</w:t>
      </w:r>
      <w:r w:rsidR="00427445">
        <w:rPr>
          <w:rFonts w:eastAsiaTheme="minorEastAsia" w:cs="Arial"/>
          <w:sz w:val="24"/>
          <w:szCs w:val="24"/>
        </w:rPr>
        <w:t>,</w:t>
      </w:r>
      <w:r w:rsidR="007135C6">
        <w:rPr>
          <w:rFonts w:eastAsiaTheme="minorEastAsia" w:cs="Arial"/>
          <w:sz w:val="24"/>
          <w:szCs w:val="24"/>
        </w:rPr>
        <w:t xml:space="preserve"> th</w:t>
      </w:r>
      <w:r w:rsidR="00D17FB8">
        <w:rPr>
          <w:rFonts w:eastAsiaTheme="minorEastAsia" w:cs="Arial"/>
          <w:sz w:val="24"/>
          <w:szCs w:val="24"/>
        </w:rPr>
        <w:t>is</w:t>
      </w:r>
      <w:r w:rsidR="007135C6">
        <w:rPr>
          <w:rFonts w:eastAsiaTheme="minorEastAsia" w:cs="Arial"/>
          <w:sz w:val="24"/>
          <w:szCs w:val="24"/>
        </w:rPr>
        <w:t xml:space="preserve"> objection need not be addressed now.</w:t>
      </w:r>
    </w:p>
    <w:p w:rsidR="00B97D29" w:rsidRPr="001233A1" w:rsidRDefault="00875470" w:rsidP="001233A1">
      <w:pPr>
        <w:pStyle w:val="FootnoteText"/>
        <w:spacing w:line="480" w:lineRule="auto"/>
        <w:ind w:firstLine="720"/>
        <w:jc w:val="both"/>
        <w:rPr>
          <w:rFonts w:cs="Arial"/>
          <w:color w:val="000000" w:themeColor="text1"/>
          <w:sz w:val="24"/>
          <w:szCs w:val="24"/>
        </w:rPr>
      </w:pPr>
      <w:r>
        <w:rPr>
          <w:rFonts w:cs="Arial"/>
          <w:color w:val="000000" w:themeColor="text1"/>
          <w:sz w:val="24"/>
          <w:szCs w:val="24"/>
        </w:rPr>
        <w:t xml:space="preserve">Second, </w:t>
      </w:r>
      <w:r w:rsidR="003D5850">
        <w:rPr>
          <w:rFonts w:cs="Arial"/>
          <w:color w:val="000000" w:themeColor="text1"/>
          <w:sz w:val="24"/>
          <w:szCs w:val="24"/>
        </w:rPr>
        <w:t xml:space="preserve">these referenced documents are not “settlement exchanges,” as asserted by </w:t>
      </w:r>
      <w:r w:rsidR="0048746C">
        <w:rPr>
          <w:rFonts w:cs="Arial"/>
          <w:color w:val="000000" w:themeColor="text1"/>
          <w:sz w:val="24"/>
          <w:szCs w:val="24"/>
        </w:rPr>
        <w:t>defendants</w:t>
      </w:r>
      <w:r w:rsidR="003D5850">
        <w:rPr>
          <w:rFonts w:cs="Arial"/>
          <w:color w:val="000000" w:themeColor="text1"/>
          <w:sz w:val="24"/>
          <w:szCs w:val="24"/>
        </w:rPr>
        <w:t>.</w:t>
      </w:r>
      <w:r w:rsidR="00DA1953">
        <w:rPr>
          <w:rFonts w:cs="Arial"/>
          <w:color w:val="000000" w:themeColor="text1"/>
          <w:sz w:val="24"/>
          <w:szCs w:val="24"/>
        </w:rPr>
        <w:t xml:space="preserve"> </w:t>
      </w:r>
      <w:r w:rsidR="003D5850">
        <w:rPr>
          <w:rFonts w:cs="Arial"/>
          <w:color w:val="000000" w:themeColor="text1"/>
          <w:sz w:val="24"/>
          <w:szCs w:val="24"/>
        </w:rPr>
        <w:t xml:space="preserve"> </w:t>
      </w:r>
      <w:r w:rsidR="00A94030">
        <w:rPr>
          <w:rFonts w:cs="Arial"/>
          <w:color w:val="000000" w:themeColor="text1"/>
          <w:sz w:val="24"/>
          <w:szCs w:val="24"/>
        </w:rPr>
        <w:t xml:space="preserve">The documents reveal </w:t>
      </w:r>
      <w:r w:rsidR="00175AD7" w:rsidRPr="00797A62">
        <w:rPr>
          <w:rFonts w:cs="Arial"/>
          <w:color w:val="000000" w:themeColor="text1"/>
          <w:sz w:val="24"/>
          <w:szCs w:val="24"/>
        </w:rPr>
        <w:t>that one partner gave notice of dissolution to another partner.  Such notice is not a settlement</w:t>
      </w:r>
      <w:r w:rsidR="00292044" w:rsidRPr="00797A62">
        <w:rPr>
          <w:rFonts w:cs="Arial"/>
          <w:color w:val="000000" w:themeColor="text1"/>
          <w:sz w:val="24"/>
          <w:szCs w:val="24"/>
        </w:rPr>
        <w:t xml:space="preserve"> negotiation</w:t>
      </w:r>
      <w:r w:rsidR="00B97D29">
        <w:rPr>
          <w:rFonts w:cs="Arial"/>
          <w:color w:val="000000" w:themeColor="text1"/>
          <w:sz w:val="24"/>
          <w:szCs w:val="24"/>
        </w:rPr>
        <w:t xml:space="preserve"> -- it is a statement of fact.  For example, t</w:t>
      </w:r>
      <w:r w:rsidR="00175AD7" w:rsidRPr="00797A62">
        <w:rPr>
          <w:rFonts w:cs="Arial"/>
          <w:color w:val="000000" w:themeColor="text1"/>
          <w:sz w:val="24"/>
          <w:szCs w:val="24"/>
        </w:rPr>
        <w:t xml:space="preserve">he relevant portions of the February 10, 2012 email </w:t>
      </w:r>
      <w:r w:rsidR="00B97D29">
        <w:rPr>
          <w:rFonts w:cs="Arial"/>
          <w:color w:val="000000" w:themeColor="text1"/>
          <w:sz w:val="24"/>
          <w:szCs w:val="24"/>
        </w:rPr>
        <w:t>(D.E. 15-2</w:t>
      </w:r>
      <w:r w:rsidR="00A725CF" w:rsidRPr="00797A62">
        <w:rPr>
          <w:rFonts w:cs="Arial"/>
          <w:color w:val="000000" w:themeColor="text1"/>
          <w:sz w:val="24"/>
          <w:szCs w:val="24"/>
        </w:rPr>
        <w:t xml:space="preserve">) </w:t>
      </w:r>
      <w:r w:rsidR="00175AD7" w:rsidRPr="00797A62">
        <w:rPr>
          <w:rFonts w:cs="Arial"/>
          <w:color w:val="000000" w:themeColor="text1"/>
          <w:sz w:val="24"/>
          <w:szCs w:val="24"/>
        </w:rPr>
        <w:t>are the</w:t>
      </w:r>
      <w:r w:rsidR="001233A1">
        <w:rPr>
          <w:rFonts w:cs="Arial"/>
          <w:color w:val="000000" w:themeColor="text1"/>
          <w:sz w:val="24"/>
          <w:szCs w:val="24"/>
        </w:rPr>
        <w:t xml:space="preserve"> heading “II </w:t>
      </w:r>
      <w:r w:rsidR="00175AD7" w:rsidRPr="001233A1">
        <w:rPr>
          <w:rFonts w:cs="Arial"/>
          <w:color w:val="000000" w:themeColor="text1"/>
          <w:sz w:val="24"/>
          <w:szCs w:val="24"/>
        </w:rPr>
        <w:t xml:space="preserve">Dissolution of </w:t>
      </w:r>
      <w:r w:rsidR="009B2806" w:rsidRPr="001233A1">
        <w:rPr>
          <w:rFonts w:cs="Arial"/>
          <w:color w:val="000000" w:themeColor="text1"/>
          <w:sz w:val="24"/>
          <w:szCs w:val="24"/>
        </w:rPr>
        <w:t>Partnership</w:t>
      </w:r>
      <w:r w:rsidR="00175AD7" w:rsidRPr="001233A1">
        <w:rPr>
          <w:rFonts w:cs="Arial"/>
          <w:color w:val="000000" w:themeColor="text1"/>
          <w:sz w:val="24"/>
          <w:szCs w:val="24"/>
        </w:rPr>
        <w:t xml:space="preserve"> (Yusuf &amp; Hamed)</w:t>
      </w:r>
      <w:r w:rsidR="001233A1" w:rsidRPr="001233A1">
        <w:rPr>
          <w:rFonts w:cs="Arial"/>
          <w:color w:val="000000" w:themeColor="text1"/>
          <w:sz w:val="24"/>
          <w:szCs w:val="24"/>
        </w:rPr>
        <w:t>”:</w:t>
      </w:r>
    </w:p>
    <w:p w:rsidR="00BC0B83" w:rsidRDefault="00175AD7" w:rsidP="00D17FB8">
      <w:pPr>
        <w:autoSpaceDE w:val="0"/>
        <w:autoSpaceDN w:val="0"/>
        <w:adjustRightInd w:val="0"/>
        <w:ind w:left="720"/>
        <w:jc w:val="both"/>
        <w:rPr>
          <w:rFonts w:cs="Arial"/>
          <w:color w:val="000000" w:themeColor="text1"/>
        </w:rPr>
      </w:pPr>
      <w:r w:rsidRPr="00F522D8">
        <w:rPr>
          <w:rFonts w:cs="Arial"/>
          <w:color w:val="000000" w:themeColor="text1"/>
        </w:rPr>
        <w:t xml:space="preserve">I will be sending a </w:t>
      </w:r>
      <w:r w:rsidRPr="00D17FB8">
        <w:rPr>
          <w:rFonts w:cs="Arial"/>
          <w:b/>
          <w:color w:val="000000" w:themeColor="text1"/>
        </w:rPr>
        <w:t>formal notice of partnership dissolution notice</w:t>
      </w:r>
      <w:r w:rsidRPr="00B97D29">
        <w:rPr>
          <w:rFonts w:cs="Arial"/>
          <w:color w:val="000000" w:themeColor="text1"/>
        </w:rPr>
        <w:t>,</w:t>
      </w:r>
      <w:r w:rsidRPr="00F522D8">
        <w:rPr>
          <w:rFonts w:cs="Arial"/>
          <w:color w:val="000000" w:themeColor="text1"/>
        </w:rPr>
        <w:t xml:space="preserve"> with a list of to-dos that will be </w:t>
      </w:r>
      <w:r w:rsidRPr="00D17FB8">
        <w:rPr>
          <w:rFonts w:cs="Arial"/>
          <w:b/>
          <w:i/>
          <w:color w:val="000000" w:themeColor="text1"/>
        </w:rPr>
        <w:t>required</w:t>
      </w:r>
      <w:r w:rsidRPr="00F522D8">
        <w:rPr>
          <w:rFonts w:cs="Arial"/>
          <w:color w:val="000000" w:themeColor="text1"/>
        </w:rPr>
        <w:t xml:space="preserve"> to complete an orderly dissolution. </w:t>
      </w:r>
      <w:r w:rsidR="0026283B">
        <w:rPr>
          <w:rFonts w:cs="Arial"/>
          <w:color w:val="000000" w:themeColor="text1"/>
        </w:rPr>
        <w:t>(Emphasis added.)</w:t>
      </w:r>
    </w:p>
    <w:p w:rsidR="00BC0B83" w:rsidRDefault="00BC0B83" w:rsidP="00D17FB8">
      <w:pPr>
        <w:autoSpaceDE w:val="0"/>
        <w:autoSpaceDN w:val="0"/>
        <w:adjustRightInd w:val="0"/>
        <w:ind w:left="720"/>
        <w:jc w:val="both"/>
        <w:rPr>
          <w:rFonts w:cs="Arial"/>
          <w:color w:val="000000" w:themeColor="text1"/>
        </w:rPr>
      </w:pPr>
    </w:p>
    <w:p w:rsidR="008641A1" w:rsidRDefault="00B97D29" w:rsidP="00D17FB8">
      <w:pPr>
        <w:autoSpaceDE w:val="0"/>
        <w:autoSpaceDN w:val="0"/>
        <w:adjustRightInd w:val="0"/>
        <w:spacing w:line="480" w:lineRule="auto"/>
        <w:jc w:val="both"/>
        <w:rPr>
          <w:rFonts w:cs="Arial"/>
          <w:bCs/>
          <w:color w:val="000000"/>
        </w:rPr>
      </w:pPr>
      <w:r>
        <w:rPr>
          <w:rFonts w:cs="Arial"/>
          <w:color w:val="000000" w:themeColor="text1"/>
        </w:rPr>
        <w:t xml:space="preserve">This </w:t>
      </w:r>
      <w:r w:rsidR="00922362">
        <w:rPr>
          <w:rFonts w:cs="Arial"/>
          <w:color w:val="000000" w:themeColor="text1"/>
        </w:rPr>
        <w:t xml:space="preserve">supports </w:t>
      </w:r>
      <w:r w:rsidR="00922362" w:rsidRPr="00F522D8">
        <w:rPr>
          <w:rFonts w:cs="Arial"/>
          <w:color w:val="000000" w:themeColor="text1"/>
        </w:rPr>
        <w:t xml:space="preserve">the </w:t>
      </w:r>
      <w:r w:rsidR="00B432D0">
        <w:rPr>
          <w:rFonts w:cs="Arial"/>
          <w:color w:val="000000" w:themeColor="text1"/>
        </w:rPr>
        <w:t xml:space="preserve">plaintiff’s </w:t>
      </w:r>
      <w:r w:rsidR="00922362" w:rsidRPr="00F522D8">
        <w:rPr>
          <w:rFonts w:cs="Arial"/>
          <w:color w:val="000000" w:themeColor="text1"/>
        </w:rPr>
        <w:t xml:space="preserve">factual assertion that </w:t>
      </w:r>
      <w:r w:rsidR="00922362" w:rsidRPr="00F522D8">
        <w:rPr>
          <w:rFonts w:cs="Arial"/>
          <w:b/>
          <w:color w:val="000000" w:themeColor="text1"/>
        </w:rPr>
        <w:t>notice</w:t>
      </w:r>
      <w:r w:rsidR="00922362" w:rsidRPr="00F522D8">
        <w:rPr>
          <w:rFonts w:cs="Arial"/>
          <w:color w:val="000000" w:themeColor="text1"/>
        </w:rPr>
        <w:t xml:space="preserve"> of dissolution was given by Yusuf</w:t>
      </w:r>
      <w:r>
        <w:rPr>
          <w:rFonts w:cs="Arial"/>
          <w:color w:val="000000" w:themeColor="text1"/>
        </w:rPr>
        <w:t>’s lawyer</w:t>
      </w:r>
      <w:r w:rsidR="00922362" w:rsidRPr="00F522D8">
        <w:rPr>
          <w:rFonts w:cs="Arial"/>
          <w:color w:val="000000" w:themeColor="text1"/>
        </w:rPr>
        <w:t xml:space="preserve"> to Hamed, and that a formal, written version would follow.</w:t>
      </w:r>
      <w:r w:rsidR="002461A8">
        <w:rPr>
          <w:rFonts w:cs="Arial"/>
          <w:color w:val="000000" w:themeColor="text1"/>
        </w:rPr>
        <w:t xml:space="preserve"> </w:t>
      </w:r>
      <w:r w:rsidR="00922362" w:rsidRPr="00F522D8">
        <w:rPr>
          <w:rFonts w:cs="Arial"/>
          <w:color w:val="000000" w:themeColor="text1"/>
        </w:rPr>
        <w:t xml:space="preserve"> </w:t>
      </w:r>
      <w:r w:rsidR="008641A1">
        <w:rPr>
          <w:rFonts w:cs="Arial"/>
          <w:bCs/>
          <w:color w:val="000000"/>
        </w:rPr>
        <w:t>The follow up</w:t>
      </w:r>
      <w:r>
        <w:rPr>
          <w:rFonts w:cs="Arial"/>
          <w:bCs/>
          <w:color w:val="000000"/>
        </w:rPr>
        <w:t xml:space="preserve"> dissolution notice (D.E. 15-2</w:t>
      </w:r>
      <w:r w:rsidR="008641A1">
        <w:rPr>
          <w:rFonts w:cs="Arial"/>
          <w:bCs/>
          <w:color w:val="000000"/>
        </w:rPr>
        <w:t>) then factually described the assets:</w:t>
      </w:r>
    </w:p>
    <w:p w:rsidR="008641A1" w:rsidRDefault="008641A1" w:rsidP="00D17FB8">
      <w:pPr>
        <w:ind w:left="432"/>
        <w:jc w:val="both"/>
        <w:rPr>
          <w:rFonts w:cs="Arial"/>
          <w:bCs/>
          <w:color w:val="000000"/>
        </w:rPr>
      </w:pPr>
      <w:r w:rsidRPr="00E316A0">
        <w:rPr>
          <w:rFonts w:cs="Arial"/>
          <w:bCs/>
          <w:color w:val="000000"/>
        </w:rPr>
        <w:t xml:space="preserve">As it stands, the partnership has three major assets: </w:t>
      </w:r>
      <w:r w:rsidR="002461A8">
        <w:rPr>
          <w:rFonts w:cs="Arial"/>
          <w:bCs/>
          <w:color w:val="000000"/>
        </w:rPr>
        <w:t xml:space="preserve"> </w:t>
      </w:r>
      <w:r w:rsidRPr="00E316A0">
        <w:rPr>
          <w:rFonts w:cs="Arial"/>
          <w:bCs/>
          <w:color w:val="000000"/>
        </w:rPr>
        <w:t>Plaza Extra - West (Grove Place, including the real property), Plaza Extra - East (Sion Farm) and Plaza Extra (Tutu Park, St. Thomas).</w:t>
      </w:r>
    </w:p>
    <w:p w:rsidR="008641A1" w:rsidRPr="00E316A0" w:rsidRDefault="008641A1" w:rsidP="00922362">
      <w:pPr>
        <w:ind w:right="720"/>
        <w:jc w:val="both"/>
        <w:rPr>
          <w:rFonts w:cs="Arial"/>
          <w:bCs/>
          <w:color w:val="000000"/>
        </w:rPr>
      </w:pPr>
      <w:bookmarkStart w:id="15" w:name="sp_4637_284"/>
      <w:bookmarkStart w:id="16" w:name="SDU_284"/>
      <w:bookmarkStart w:id="17" w:name="citeas((Cite_as:_625_F.Supp.2d_276,_*284"/>
      <w:bookmarkStart w:id="18" w:name="______#HN;F6"/>
      <w:bookmarkStart w:id="19" w:name="sp_4637_286"/>
      <w:bookmarkStart w:id="20" w:name="SDU_286"/>
      <w:bookmarkStart w:id="21" w:name="FN4"/>
      <w:bookmarkStart w:id="22" w:name="F00442018542561"/>
      <w:bookmarkStart w:id="23" w:name="B00442018542561"/>
      <w:bookmarkStart w:id="24" w:name="______#HN;F7"/>
      <w:bookmarkStart w:id="25" w:name="______#HN;F11"/>
      <w:bookmarkStart w:id="26" w:name="______#HN;F12"/>
      <w:bookmarkStart w:id="27" w:name="sp_999_8"/>
      <w:bookmarkStart w:id="28" w:name="SDU_8"/>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641A1" w:rsidRPr="00E316A0" w:rsidRDefault="00B97D29" w:rsidP="008641A1">
      <w:pPr>
        <w:spacing w:line="480" w:lineRule="auto"/>
        <w:jc w:val="both"/>
        <w:rPr>
          <w:rFonts w:cs="Arial"/>
          <w:bCs/>
          <w:color w:val="000000"/>
        </w:rPr>
      </w:pPr>
      <w:r>
        <w:rPr>
          <w:rFonts w:cs="Arial"/>
          <w:bCs/>
          <w:color w:val="000000"/>
        </w:rPr>
        <w:t>Indeed, these documents were</w:t>
      </w:r>
      <w:r w:rsidR="00922362">
        <w:rPr>
          <w:rFonts w:cs="Arial"/>
          <w:bCs/>
          <w:color w:val="000000"/>
        </w:rPr>
        <w:t xml:space="preserve"> sent to Hamed (not any lawyer) and</w:t>
      </w:r>
      <w:r w:rsidR="008641A1">
        <w:rPr>
          <w:rFonts w:cs="Arial"/>
          <w:bCs/>
          <w:color w:val="000000"/>
        </w:rPr>
        <w:t xml:space="preserve"> did not contain any</w:t>
      </w:r>
      <w:r>
        <w:rPr>
          <w:rFonts w:cs="Arial"/>
          <w:bCs/>
          <w:color w:val="000000"/>
        </w:rPr>
        <w:t xml:space="preserve"> language indicating that they were</w:t>
      </w:r>
      <w:r w:rsidR="008641A1">
        <w:rPr>
          <w:rFonts w:cs="Arial"/>
          <w:bCs/>
          <w:color w:val="000000"/>
        </w:rPr>
        <w:t xml:space="preserve"> being sent for settlement purposes.  The same is true of</w:t>
      </w:r>
      <w:r w:rsidR="008641A1" w:rsidRPr="00E316A0">
        <w:rPr>
          <w:rFonts w:cs="Arial"/>
          <w:bCs/>
          <w:color w:val="000000"/>
        </w:rPr>
        <w:t xml:space="preserve"> </w:t>
      </w:r>
      <w:r w:rsidR="008641A1">
        <w:rPr>
          <w:rFonts w:cs="Arial"/>
          <w:bCs/>
          <w:color w:val="000000"/>
        </w:rPr>
        <w:t xml:space="preserve">the </w:t>
      </w:r>
      <w:r w:rsidR="008641A1" w:rsidRPr="00E316A0">
        <w:rPr>
          <w:rFonts w:cs="Arial"/>
          <w:bCs/>
          <w:color w:val="000000"/>
        </w:rPr>
        <w:t xml:space="preserve">statements in the </w:t>
      </w:r>
      <w:r w:rsidR="00922362">
        <w:rPr>
          <w:rFonts w:cs="Arial"/>
          <w:bCs/>
          <w:color w:val="000000"/>
        </w:rPr>
        <w:t xml:space="preserve">draft </w:t>
      </w:r>
      <w:r w:rsidR="008641A1" w:rsidRPr="00E316A0">
        <w:rPr>
          <w:rFonts w:cs="Arial"/>
          <w:bCs/>
          <w:color w:val="000000"/>
        </w:rPr>
        <w:t xml:space="preserve">dissolution agreement </w:t>
      </w:r>
      <w:r w:rsidR="00922362">
        <w:rPr>
          <w:rFonts w:cs="Arial"/>
          <w:bCs/>
          <w:color w:val="000000"/>
        </w:rPr>
        <w:t xml:space="preserve">subsequently </w:t>
      </w:r>
      <w:r w:rsidR="008641A1" w:rsidRPr="00E316A0">
        <w:rPr>
          <w:rFonts w:cs="Arial"/>
          <w:bCs/>
          <w:color w:val="000000"/>
        </w:rPr>
        <w:t xml:space="preserve">sent by Attorney </w:t>
      </w:r>
      <w:r w:rsidR="008641A1">
        <w:rPr>
          <w:rFonts w:cs="Arial"/>
          <w:bCs/>
          <w:color w:val="000000"/>
        </w:rPr>
        <w:t>DeWood</w:t>
      </w:r>
      <w:r w:rsidR="008641A1" w:rsidRPr="006B7DAC">
        <w:rPr>
          <w:rFonts w:cs="Arial"/>
          <w:bCs/>
          <w:color w:val="000000"/>
        </w:rPr>
        <w:t xml:space="preserve">, which </w:t>
      </w:r>
      <w:r w:rsidR="00922362">
        <w:rPr>
          <w:rFonts w:cs="Arial"/>
          <w:bCs/>
          <w:color w:val="000000"/>
        </w:rPr>
        <w:t xml:space="preserve">again </w:t>
      </w:r>
      <w:r w:rsidR="008641A1">
        <w:rPr>
          <w:rFonts w:cs="Arial"/>
          <w:bCs/>
          <w:color w:val="000000"/>
        </w:rPr>
        <w:t xml:space="preserve">identified these three stores as being partnership assets, and which </w:t>
      </w:r>
      <w:r w:rsidR="008641A1" w:rsidRPr="006B7DAC">
        <w:rPr>
          <w:rFonts w:cs="Arial"/>
          <w:bCs/>
          <w:color w:val="000000"/>
        </w:rPr>
        <w:t>also included these “Whereas” clauses</w:t>
      </w:r>
      <w:r w:rsidR="008641A1">
        <w:rPr>
          <w:rFonts w:cs="Arial"/>
          <w:bCs/>
          <w:color w:val="000000"/>
        </w:rPr>
        <w:t xml:space="preserve"> </w:t>
      </w:r>
      <w:r w:rsidR="008641A1" w:rsidRPr="00484971">
        <w:rPr>
          <w:rFonts w:cs="Arial"/>
        </w:rPr>
        <w:t>(</w:t>
      </w:r>
      <w:r w:rsidR="008641A1">
        <w:rPr>
          <w:rFonts w:cs="Arial"/>
        </w:rPr>
        <w:t>DE</w:t>
      </w:r>
      <w:r>
        <w:rPr>
          <w:rFonts w:cs="Arial"/>
        </w:rPr>
        <w:t xml:space="preserve"> 15-3</w:t>
      </w:r>
      <w:r w:rsidR="008641A1" w:rsidRPr="00484971">
        <w:rPr>
          <w:rFonts w:cs="Arial"/>
        </w:rPr>
        <w:t>)</w:t>
      </w:r>
      <w:r w:rsidR="008641A1" w:rsidRPr="006B7DAC">
        <w:rPr>
          <w:rFonts w:cs="Arial"/>
          <w:bCs/>
          <w:color w:val="000000"/>
        </w:rPr>
        <w:t>:</w:t>
      </w:r>
    </w:p>
    <w:p w:rsidR="008641A1" w:rsidRDefault="008641A1" w:rsidP="00D17F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32" w:right="-288"/>
        <w:jc w:val="both"/>
        <w:rPr>
          <w:rFonts w:cs="Arial"/>
          <w:bCs/>
          <w:color w:val="000000"/>
        </w:rPr>
      </w:pPr>
      <w:r w:rsidRPr="00E316A0">
        <w:rPr>
          <w:rFonts w:cs="Arial"/>
          <w:bCs/>
          <w:color w:val="000000"/>
        </w:rPr>
        <w:lastRenderedPageBreak/>
        <w:t xml:space="preserve">WHEREAS, the Partners have operated the Partnership under an </w:t>
      </w:r>
      <w:r w:rsidRPr="004F12BF">
        <w:rPr>
          <w:rFonts w:cs="Arial"/>
          <w:b/>
          <w:bCs/>
          <w:color w:val="000000"/>
          <w:u w:val="single"/>
        </w:rPr>
        <w:t>oral</w:t>
      </w:r>
      <w:r w:rsidRPr="00E316A0">
        <w:rPr>
          <w:rFonts w:cs="Arial"/>
          <w:bCs/>
          <w:color w:val="000000"/>
        </w:rPr>
        <w:t xml:space="preserve"> partnership Agreement since 1</w:t>
      </w:r>
      <w:r w:rsidRPr="00045C24">
        <w:rPr>
          <w:rFonts w:cs="Arial"/>
          <w:bCs/>
          <w:color w:val="000000"/>
        </w:rPr>
        <w:t>986.</w:t>
      </w:r>
      <w:r>
        <w:rPr>
          <w:rFonts w:cs="Arial"/>
          <w:bCs/>
          <w:color w:val="000000"/>
        </w:rPr>
        <w:t xml:space="preserve"> (Emphasis in original)</w:t>
      </w:r>
    </w:p>
    <w:p w:rsidR="008641A1" w:rsidRPr="00045C24" w:rsidRDefault="008641A1" w:rsidP="00D17FB8">
      <w:pPr>
        <w:ind w:left="432" w:right="-288"/>
        <w:jc w:val="both"/>
        <w:rPr>
          <w:rFonts w:cs="Arial"/>
          <w:bCs/>
          <w:color w:val="000000"/>
        </w:rPr>
      </w:pPr>
      <w:r w:rsidRPr="00045C24">
        <w:rPr>
          <w:rFonts w:cs="Arial"/>
          <w:bCs/>
          <w:color w:val="000000"/>
        </w:rPr>
        <w:t>WHEREAS, the Partnership was formed for the purposes of operating Super Markets in the District of St. Croix, and St. Thomas; and</w:t>
      </w:r>
    </w:p>
    <w:p w:rsidR="008641A1" w:rsidRPr="00045C24" w:rsidRDefault="003326E3" w:rsidP="00D17FB8">
      <w:pPr>
        <w:ind w:left="432" w:right="-288"/>
        <w:jc w:val="center"/>
        <w:rPr>
          <w:rFonts w:cs="Arial"/>
          <w:bCs/>
          <w:color w:val="000000"/>
        </w:rPr>
      </w:pPr>
      <w:r>
        <w:rPr>
          <w:rFonts w:cs="Arial"/>
          <w:bCs/>
          <w:color w:val="000000"/>
        </w:rPr>
        <w:t xml:space="preserve">. . . </w:t>
      </w:r>
      <w:r w:rsidR="008953E0">
        <w:rPr>
          <w:rFonts w:cs="Arial"/>
          <w:bCs/>
          <w:color w:val="000000"/>
        </w:rPr>
        <w:t>.</w:t>
      </w:r>
    </w:p>
    <w:p w:rsidR="008641A1" w:rsidRPr="00045C24" w:rsidRDefault="008641A1" w:rsidP="00D17FB8">
      <w:pPr>
        <w:ind w:left="432" w:right="-288"/>
        <w:jc w:val="both"/>
        <w:rPr>
          <w:rFonts w:cs="Arial"/>
          <w:bCs/>
          <w:color w:val="000000"/>
        </w:rPr>
      </w:pPr>
      <w:r w:rsidRPr="00045C24">
        <w:rPr>
          <w:rFonts w:cs="Arial"/>
          <w:bCs/>
          <w:color w:val="000000"/>
        </w:rPr>
        <w:t>WHEREAS, the Partners have shared profits, losses, deductions, credits, and cash of the Partnership;</w:t>
      </w:r>
    </w:p>
    <w:p w:rsidR="008641A1" w:rsidRPr="00E316A0" w:rsidRDefault="008641A1" w:rsidP="008641A1">
      <w:pPr>
        <w:ind w:left="1120"/>
        <w:jc w:val="both"/>
        <w:rPr>
          <w:rFonts w:cs="Arial"/>
          <w:bCs/>
          <w:color w:val="000000"/>
        </w:rPr>
      </w:pPr>
    </w:p>
    <w:p w:rsidR="00704A14" w:rsidRDefault="008641A1" w:rsidP="00922362">
      <w:pPr>
        <w:spacing w:line="480" w:lineRule="auto"/>
        <w:jc w:val="both"/>
        <w:rPr>
          <w:rFonts w:cs="Arial"/>
          <w:b/>
          <w:bCs/>
          <w:color w:val="000000"/>
        </w:rPr>
      </w:pPr>
      <w:r>
        <w:rPr>
          <w:rFonts w:cs="Arial"/>
          <w:bCs/>
          <w:color w:val="000000"/>
        </w:rPr>
        <w:t>Thus</w:t>
      </w:r>
      <w:r w:rsidRPr="00E316A0">
        <w:rPr>
          <w:rFonts w:cs="Arial"/>
          <w:bCs/>
          <w:color w:val="000000"/>
        </w:rPr>
        <w:t xml:space="preserve">, these </w:t>
      </w:r>
      <w:r w:rsidR="00B97D29">
        <w:rPr>
          <w:rFonts w:cs="Arial"/>
          <w:bCs/>
          <w:color w:val="000000"/>
        </w:rPr>
        <w:t>statements of fact</w:t>
      </w:r>
      <w:r w:rsidRPr="00E316A0">
        <w:rPr>
          <w:rFonts w:cs="Arial"/>
          <w:bCs/>
          <w:color w:val="000000"/>
        </w:rPr>
        <w:t xml:space="preserve">, as communicated by </w:t>
      </w:r>
      <w:r w:rsidR="0048746C">
        <w:rPr>
          <w:rFonts w:cs="Arial"/>
          <w:bCs/>
          <w:color w:val="000000"/>
        </w:rPr>
        <w:t>defendants</w:t>
      </w:r>
      <w:r w:rsidR="00B97D29">
        <w:rPr>
          <w:rFonts w:cs="Arial"/>
          <w:bCs/>
          <w:color w:val="000000"/>
        </w:rPr>
        <w:t>’ counsel, should not be stricken</w:t>
      </w:r>
      <w:r w:rsidRPr="00E316A0">
        <w:rPr>
          <w:rFonts w:cs="Arial"/>
          <w:bCs/>
          <w:color w:val="000000"/>
        </w:rPr>
        <w:t xml:space="preserve"> under the argument that they were </w:t>
      </w:r>
      <w:r w:rsidR="00B97D29">
        <w:rPr>
          <w:rFonts w:cs="Arial"/>
          <w:bCs/>
          <w:color w:val="000000"/>
        </w:rPr>
        <w:t xml:space="preserve">only </w:t>
      </w:r>
      <w:r w:rsidRPr="00E316A0">
        <w:rPr>
          <w:rFonts w:cs="Arial"/>
          <w:bCs/>
          <w:color w:val="000000"/>
        </w:rPr>
        <w:t>m</w:t>
      </w:r>
      <w:r>
        <w:rPr>
          <w:rFonts w:cs="Arial"/>
          <w:bCs/>
          <w:color w:val="000000"/>
        </w:rPr>
        <w:t>ade for settlement purpose</w:t>
      </w:r>
      <w:r w:rsidR="004E7E56">
        <w:rPr>
          <w:rFonts w:cs="Arial"/>
          <w:bCs/>
          <w:color w:val="000000"/>
        </w:rPr>
        <w:t xml:space="preserve">. </w:t>
      </w:r>
      <w:r w:rsidR="00B97D29">
        <w:rPr>
          <w:rFonts w:cs="Arial"/>
          <w:bCs/>
          <w:color w:val="000000"/>
        </w:rPr>
        <w:t xml:space="preserve"> </w:t>
      </w:r>
      <w:r w:rsidR="004E7E56">
        <w:rPr>
          <w:rFonts w:cs="Arial"/>
          <w:bCs/>
          <w:color w:val="000000"/>
        </w:rPr>
        <w:t>N</w:t>
      </w:r>
      <w:r w:rsidR="00BE11F8">
        <w:rPr>
          <w:rFonts w:cs="Arial"/>
          <w:bCs/>
          <w:color w:val="000000"/>
        </w:rPr>
        <w:t xml:space="preserve">one of the quoted language </w:t>
      </w:r>
      <w:r w:rsidR="004007AC">
        <w:rPr>
          <w:rFonts w:cs="Arial"/>
          <w:bCs/>
          <w:color w:val="000000"/>
        </w:rPr>
        <w:t>attempts</w:t>
      </w:r>
      <w:r w:rsidR="00BE11F8">
        <w:rPr>
          <w:rFonts w:cs="Arial"/>
          <w:bCs/>
          <w:color w:val="000000"/>
        </w:rPr>
        <w:t xml:space="preserve"> to compromise or settle anything</w:t>
      </w:r>
      <w:r w:rsidR="004007AC">
        <w:rPr>
          <w:rFonts w:cs="Arial"/>
          <w:bCs/>
          <w:color w:val="000000"/>
        </w:rPr>
        <w:t>.</w:t>
      </w:r>
      <w:r w:rsidR="0026283B">
        <w:rPr>
          <w:rFonts w:cs="Arial"/>
          <w:bCs/>
          <w:color w:val="000000"/>
        </w:rPr>
        <w:t xml:space="preserve"> </w:t>
      </w:r>
      <w:r w:rsidR="004007AC">
        <w:rPr>
          <w:rFonts w:cs="Arial"/>
          <w:bCs/>
          <w:color w:val="000000"/>
        </w:rPr>
        <w:t xml:space="preserve"> That language</w:t>
      </w:r>
      <w:r w:rsidR="00B97D29">
        <w:rPr>
          <w:rFonts w:cs="Arial"/>
          <w:bCs/>
          <w:color w:val="000000"/>
        </w:rPr>
        <w:t xml:space="preserve"> </w:t>
      </w:r>
      <w:r w:rsidR="004007AC">
        <w:rPr>
          <w:rFonts w:cs="Arial"/>
          <w:bCs/>
          <w:color w:val="000000"/>
        </w:rPr>
        <w:t>was</w:t>
      </w:r>
      <w:r w:rsidR="00B97D29">
        <w:rPr>
          <w:rFonts w:cs="Arial"/>
          <w:bCs/>
          <w:color w:val="000000"/>
        </w:rPr>
        <w:t xml:space="preserve"> </w:t>
      </w:r>
      <w:r w:rsidR="00BC0B83">
        <w:rPr>
          <w:rFonts w:cs="Arial"/>
          <w:bCs/>
          <w:color w:val="000000"/>
        </w:rPr>
        <w:t xml:space="preserve">part of a unilateral </w:t>
      </w:r>
      <w:r w:rsidR="00C737AD">
        <w:rPr>
          <w:rFonts w:cs="Arial"/>
          <w:bCs/>
          <w:color w:val="000000"/>
        </w:rPr>
        <w:t xml:space="preserve">notice </w:t>
      </w:r>
      <w:r w:rsidR="004007AC">
        <w:rPr>
          <w:rFonts w:cs="Arial"/>
          <w:bCs/>
          <w:color w:val="000000"/>
        </w:rPr>
        <w:t>intended to</w:t>
      </w:r>
      <w:r w:rsidR="00C737AD">
        <w:rPr>
          <w:rFonts w:cs="Arial"/>
          <w:bCs/>
          <w:color w:val="000000"/>
        </w:rPr>
        <w:t xml:space="preserve"> </w:t>
      </w:r>
      <w:r w:rsidR="00B97D29">
        <w:rPr>
          <w:rFonts w:cs="Arial"/>
          <w:bCs/>
          <w:color w:val="000000"/>
        </w:rPr>
        <w:t>commence the</w:t>
      </w:r>
      <w:r>
        <w:rPr>
          <w:rFonts w:cs="Arial"/>
          <w:bCs/>
          <w:color w:val="000000"/>
        </w:rPr>
        <w:t xml:space="preserve"> </w:t>
      </w:r>
      <w:r w:rsidR="00B97D29">
        <w:rPr>
          <w:rFonts w:cs="Arial"/>
          <w:b/>
          <w:bCs/>
          <w:color w:val="000000"/>
        </w:rPr>
        <w:t>dissolution of</w:t>
      </w:r>
      <w:r w:rsidR="00922362">
        <w:rPr>
          <w:rFonts w:cs="Arial"/>
          <w:b/>
          <w:bCs/>
          <w:color w:val="000000"/>
        </w:rPr>
        <w:t xml:space="preserve"> the partnership.</w:t>
      </w:r>
    </w:p>
    <w:p w:rsidR="00922362" w:rsidRPr="00922362" w:rsidRDefault="00922362" w:rsidP="00922362">
      <w:pPr>
        <w:spacing w:line="480" w:lineRule="auto"/>
        <w:jc w:val="both"/>
        <w:rPr>
          <w:rFonts w:cs="Arial"/>
          <w:bCs/>
          <w:color w:val="000000"/>
        </w:rPr>
      </w:pPr>
      <w:r>
        <w:rPr>
          <w:rFonts w:cs="Arial"/>
          <w:bCs/>
          <w:color w:val="000000"/>
        </w:rPr>
        <w:tab/>
        <w:t xml:space="preserve">In summary, it is premature to address this issue now, particularly since these the relevant sections relied upon (and quoted) by the plaintiff in the amended complaint do not appear </w:t>
      </w:r>
      <w:r w:rsidR="00BE11F8">
        <w:rPr>
          <w:rFonts w:cs="Arial"/>
          <w:bCs/>
          <w:color w:val="000000"/>
        </w:rPr>
        <w:t xml:space="preserve">on their face </w:t>
      </w:r>
      <w:r>
        <w:rPr>
          <w:rFonts w:cs="Arial"/>
          <w:bCs/>
          <w:color w:val="000000"/>
        </w:rPr>
        <w:t>to be settlement communications.</w:t>
      </w:r>
    </w:p>
    <w:p w:rsidR="006A3393" w:rsidRPr="00F522D8" w:rsidRDefault="00FA27E7" w:rsidP="00FA27E7">
      <w:pPr>
        <w:tabs>
          <w:tab w:val="left" w:pos="720"/>
          <w:tab w:val="left" w:pos="1440"/>
          <w:tab w:val="left" w:pos="2160"/>
          <w:tab w:val="left" w:pos="2880"/>
          <w:tab w:val="left" w:pos="3600"/>
          <w:tab w:val="left" w:pos="4320"/>
          <w:tab w:val="left" w:pos="5040"/>
          <w:tab w:val="left" w:pos="5760"/>
        </w:tabs>
        <w:autoSpaceDE w:val="0"/>
        <w:autoSpaceDN w:val="0"/>
        <w:adjustRightInd w:val="0"/>
        <w:ind w:left="360"/>
        <w:rPr>
          <w:rFonts w:cs="Arial"/>
          <w:b/>
          <w:color w:val="000000" w:themeColor="text1"/>
        </w:rPr>
      </w:pPr>
      <w:r w:rsidRPr="00F522D8">
        <w:rPr>
          <w:rFonts w:cs="Arial"/>
          <w:b/>
          <w:color w:val="000000" w:themeColor="text1"/>
        </w:rPr>
        <w:tab/>
        <w:t xml:space="preserve">V. </w:t>
      </w:r>
      <w:r w:rsidR="006A3393" w:rsidRPr="00F522D8">
        <w:rPr>
          <w:rFonts w:cs="Arial"/>
          <w:b/>
          <w:color w:val="000000" w:themeColor="text1"/>
        </w:rPr>
        <w:t xml:space="preserve">Conclusion </w:t>
      </w:r>
    </w:p>
    <w:p w:rsidR="006A3393" w:rsidRPr="00F522D8" w:rsidRDefault="006A3393" w:rsidP="006A3393">
      <w:pPr>
        <w:tabs>
          <w:tab w:val="left" w:pos="720"/>
          <w:tab w:val="left" w:pos="1440"/>
          <w:tab w:val="left" w:pos="2160"/>
          <w:tab w:val="left" w:pos="2880"/>
          <w:tab w:val="left" w:pos="3600"/>
          <w:tab w:val="left" w:pos="4320"/>
          <w:tab w:val="left" w:pos="5040"/>
          <w:tab w:val="left" w:pos="5760"/>
        </w:tabs>
        <w:jc w:val="both"/>
        <w:rPr>
          <w:rFonts w:cs="Arial"/>
          <w:b/>
          <w:color w:val="000000" w:themeColor="text1"/>
        </w:rPr>
      </w:pPr>
    </w:p>
    <w:p w:rsidR="00D17FB8" w:rsidRDefault="006A3393" w:rsidP="00D17FB8">
      <w:pPr>
        <w:tabs>
          <w:tab w:val="left" w:pos="720"/>
          <w:tab w:val="left" w:pos="1440"/>
          <w:tab w:val="left" w:pos="2160"/>
          <w:tab w:val="left" w:pos="2880"/>
          <w:tab w:val="left" w:pos="3600"/>
          <w:tab w:val="left" w:pos="4320"/>
          <w:tab w:val="left" w:pos="5040"/>
          <w:tab w:val="left" w:pos="5760"/>
        </w:tabs>
        <w:spacing w:line="480" w:lineRule="auto"/>
        <w:jc w:val="both"/>
        <w:rPr>
          <w:rFonts w:cs="Arial"/>
          <w:color w:val="000000" w:themeColor="text1"/>
        </w:rPr>
      </w:pPr>
      <w:r w:rsidRPr="00F522D8">
        <w:rPr>
          <w:rFonts w:cs="Arial"/>
          <w:color w:val="000000" w:themeColor="text1"/>
        </w:rPr>
        <w:tab/>
        <w:t xml:space="preserve">For the reason set forth herein, it is respectfully submitted that </w:t>
      </w:r>
      <w:r w:rsidR="00B432D0" w:rsidRPr="00F522D8">
        <w:rPr>
          <w:rFonts w:cs="Arial"/>
          <w:color w:val="000000" w:themeColor="text1"/>
        </w:rPr>
        <w:t>Defendants</w:t>
      </w:r>
      <w:r w:rsidR="00B432D0">
        <w:rPr>
          <w:rFonts w:cs="Arial"/>
          <w:color w:val="000000" w:themeColor="text1"/>
        </w:rPr>
        <w:t xml:space="preserve">’ </w:t>
      </w:r>
      <w:r w:rsidR="003D5850">
        <w:rPr>
          <w:rFonts w:cs="Arial"/>
          <w:color w:val="000000" w:themeColor="text1"/>
        </w:rPr>
        <w:t xml:space="preserve">Rule 12 </w:t>
      </w:r>
      <w:r w:rsidRPr="00F522D8">
        <w:rPr>
          <w:rFonts w:cs="Arial"/>
          <w:color w:val="000000" w:themeColor="text1"/>
        </w:rPr>
        <w:t>motion to dismiss should be denied</w:t>
      </w:r>
      <w:r w:rsidR="00922362">
        <w:rPr>
          <w:rFonts w:cs="Arial"/>
          <w:color w:val="000000" w:themeColor="text1"/>
        </w:rPr>
        <w:t xml:space="preserve"> in all respects</w:t>
      </w:r>
      <w:r w:rsidR="00D17FB8">
        <w:rPr>
          <w:rFonts w:cs="Arial"/>
          <w:color w:val="000000" w:themeColor="text1"/>
        </w:rPr>
        <w:t>.</w:t>
      </w:r>
    </w:p>
    <w:p w:rsidR="00D17FB8" w:rsidRDefault="00D17FB8" w:rsidP="00D17FB8">
      <w:pPr>
        <w:pStyle w:val="NoSpacing"/>
      </w:pPr>
      <w:proofErr w:type="gramStart"/>
      <w:r>
        <w:rPr>
          <w:b/>
        </w:rPr>
        <w:t>Dated:</w:t>
      </w:r>
      <w:r>
        <w:t xml:space="preserve"> November 12, 2012</w:t>
      </w:r>
      <w:r>
        <w:tab/>
      </w:r>
      <w:r>
        <w:tab/>
      </w:r>
      <w:r>
        <w:tab/>
      </w:r>
      <w:r>
        <w:tab/>
      </w:r>
      <w:r w:rsidRPr="00EC2234">
        <w:rPr>
          <w:u w:val="single"/>
        </w:rPr>
        <w:t>/s/</w:t>
      </w:r>
      <w:r w:rsidRPr="00EC2234">
        <w:rPr>
          <w:i/>
          <w:u w:val="single"/>
        </w:rPr>
        <w:t>Joel H. Holt, Esq.</w:t>
      </w:r>
      <w:proofErr w:type="gramEnd"/>
      <w:r w:rsidR="00444C1B">
        <w:rPr>
          <w:i/>
          <w:u w:val="single"/>
        </w:rPr>
        <w:tab/>
      </w:r>
      <w:r w:rsidR="00444C1B">
        <w:rPr>
          <w:i/>
          <w:u w:val="single"/>
        </w:rPr>
        <w:tab/>
      </w:r>
      <w:r w:rsidR="00444C1B">
        <w:rPr>
          <w:i/>
          <w:u w:val="single"/>
        </w:rPr>
        <w:tab/>
      </w:r>
      <w:r>
        <w:t xml:space="preserve">   </w:t>
      </w:r>
    </w:p>
    <w:p w:rsidR="00D17FB8" w:rsidRDefault="00D17FB8" w:rsidP="00D17FB8">
      <w:pPr>
        <w:pStyle w:val="NoSpacing"/>
        <w:ind w:left="5040" w:firstLine="720"/>
        <w:rPr>
          <w:b/>
        </w:rPr>
      </w:pPr>
      <w:r>
        <w:rPr>
          <w:b/>
        </w:rPr>
        <w:t>Joel H. Holt, Esq.</w:t>
      </w:r>
    </w:p>
    <w:p w:rsidR="00D17FB8" w:rsidRDefault="00D17FB8" w:rsidP="00D17FB8">
      <w:pPr>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Counsel for Plaintiff</w:t>
      </w:r>
    </w:p>
    <w:p w:rsidR="00D17FB8" w:rsidRDefault="00D17FB8" w:rsidP="00D17FB8">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Law Offices of Joel H. Holt</w:t>
      </w:r>
    </w:p>
    <w:p w:rsidR="00D17FB8" w:rsidRDefault="00D17FB8" w:rsidP="00D17FB8">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2132 Company Street, </w:t>
      </w:r>
    </w:p>
    <w:p w:rsidR="00D17FB8" w:rsidRDefault="00D17FB8" w:rsidP="00D17FB8">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Christiansted, VI 00820</w:t>
      </w:r>
    </w:p>
    <w:p w:rsidR="00D17FB8" w:rsidRDefault="00D17FB8" w:rsidP="00D17FB8">
      <w:pPr>
        <w:jc w:val="both"/>
        <w:rPr>
          <w:rFonts w:cs="Arial"/>
        </w:rPr>
      </w:pPr>
    </w:p>
    <w:p w:rsidR="00D17FB8" w:rsidRDefault="00D17FB8" w:rsidP="00D17FB8">
      <w:pPr>
        <w:rPr>
          <w:rFonts w:cs="Arial"/>
          <w:i/>
          <w:u w:val="single"/>
        </w:rPr>
      </w:pPr>
      <w:proofErr w:type="gramStart"/>
      <w:r>
        <w:rPr>
          <w:rFonts w:cs="Arial"/>
          <w:b/>
        </w:rPr>
        <w:t>Dated:</w:t>
      </w:r>
      <w:r>
        <w:rPr>
          <w:rFonts w:cs="Arial"/>
        </w:rPr>
        <w:t xml:space="preserve"> November 12, 2012</w:t>
      </w:r>
      <w:r>
        <w:rPr>
          <w:rFonts w:cs="Arial"/>
        </w:rPr>
        <w:tab/>
      </w:r>
      <w:r>
        <w:rPr>
          <w:rFonts w:cs="Arial"/>
        </w:rPr>
        <w:tab/>
      </w:r>
      <w:r>
        <w:rPr>
          <w:rFonts w:cs="Arial"/>
        </w:rPr>
        <w:tab/>
      </w:r>
      <w:r>
        <w:rPr>
          <w:rFonts w:cs="Arial"/>
        </w:rPr>
        <w:tab/>
      </w:r>
      <w:r>
        <w:rPr>
          <w:rFonts w:cs="Arial"/>
          <w:u w:val="single"/>
        </w:rPr>
        <w:t>/s/</w:t>
      </w:r>
      <w:r>
        <w:rPr>
          <w:rFonts w:cs="Arial"/>
          <w:i/>
          <w:u w:val="single"/>
        </w:rPr>
        <w:t>Carl J. Hartmann, III, Esq.</w:t>
      </w:r>
      <w:proofErr w:type="gramEnd"/>
      <w:r w:rsidR="00444C1B">
        <w:rPr>
          <w:rFonts w:cs="Arial"/>
          <w:i/>
          <w:u w:val="single"/>
        </w:rPr>
        <w:tab/>
      </w:r>
      <w:r>
        <w:rPr>
          <w:rFonts w:cs="Arial"/>
          <w:i/>
          <w:u w:val="single"/>
        </w:rPr>
        <w:t xml:space="preserve"> </w:t>
      </w:r>
    </w:p>
    <w:p w:rsidR="00D17FB8" w:rsidRDefault="00D17FB8" w:rsidP="00D17FB8">
      <w:pPr>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Carl J. Hartmann III, Esq.</w:t>
      </w:r>
    </w:p>
    <w:p w:rsidR="00D17FB8" w:rsidRDefault="00D17FB8" w:rsidP="00D17FB8">
      <w:pPr>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Co-Counsel for Plaintiff</w:t>
      </w:r>
    </w:p>
    <w:p w:rsidR="00D17FB8" w:rsidRDefault="00D17FB8" w:rsidP="00D17FB8">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5000 Estate Coakley Bay, L-6</w:t>
      </w:r>
    </w:p>
    <w:p w:rsidR="00D17FB8" w:rsidRDefault="00D17FB8" w:rsidP="00D17FB8">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Christiansted, VI 00820</w:t>
      </w:r>
    </w:p>
    <w:p w:rsidR="00D17FB8" w:rsidRDefault="00D17FB8" w:rsidP="00D17FB8">
      <w:pPr>
        <w:jc w:val="both"/>
        <w:rPr>
          <w:rFonts w:cs="Arial"/>
        </w:rPr>
      </w:pPr>
    </w:p>
    <w:p w:rsidR="00E9311E" w:rsidRDefault="00E9311E">
      <w:pPr>
        <w:spacing w:after="200" w:line="276" w:lineRule="auto"/>
        <w:rPr>
          <w:rFonts w:cs="Arial"/>
          <w:b/>
        </w:rPr>
      </w:pPr>
      <w:r>
        <w:rPr>
          <w:rFonts w:cs="Arial"/>
          <w:b/>
        </w:rPr>
        <w:br w:type="page"/>
      </w:r>
    </w:p>
    <w:p w:rsidR="00E9311E" w:rsidRDefault="00E9311E" w:rsidP="00D17FB8">
      <w:pPr>
        <w:jc w:val="center"/>
        <w:rPr>
          <w:rFonts w:cs="Arial"/>
          <w:b/>
        </w:rPr>
      </w:pPr>
    </w:p>
    <w:p w:rsidR="00D17FB8" w:rsidRDefault="00D17FB8" w:rsidP="00D17FB8">
      <w:pPr>
        <w:jc w:val="center"/>
        <w:rPr>
          <w:rFonts w:cs="Arial"/>
          <w:b/>
        </w:rPr>
      </w:pPr>
      <w:r>
        <w:rPr>
          <w:rFonts w:cs="Arial"/>
          <w:b/>
        </w:rPr>
        <w:t>CERTIFICATE OF SERVICE</w:t>
      </w:r>
    </w:p>
    <w:p w:rsidR="00D17FB8" w:rsidRDefault="00D17FB8" w:rsidP="00D17FB8">
      <w:pPr>
        <w:jc w:val="both"/>
        <w:rPr>
          <w:rFonts w:cs="Arial"/>
        </w:rPr>
      </w:pPr>
    </w:p>
    <w:p w:rsidR="00D17FB8" w:rsidRDefault="00D17FB8" w:rsidP="00D17FB8">
      <w:pPr>
        <w:jc w:val="both"/>
        <w:rPr>
          <w:rFonts w:cs="Arial"/>
        </w:rPr>
      </w:pPr>
      <w:r>
        <w:rPr>
          <w:rFonts w:cs="Arial"/>
        </w:rPr>
        <w:tab/>
        <w:t>I hereby certify that on this 12 day of November, 2012, I filed the foregoing with the Clerk of the Court, and delivered by ECF to the following:</w:t>
      </w:r>
    </w:p>
    <w:p w:rsidR="00D17FB8" w:rsidRDefault="00D17FB8" w:rsidP="00D17FB8">
      <w:pPr>
        <w:jc w:val="both"/>
        <w:rPr>
          <w:rFonts w:cs="Arial"/>
        </w:rPr>
      </w:pPr>
    </w:p>
    <w:p w:rsidR="00D17FB8" w:rsidRPr="007C5FF3" w:rsidRDefault="00D17FB8" w:rsidP="00D17FB8">
      <w:pPr>
        <w:pStyle w:val="NoSpacing"/>
      </w:pPr>
      <w:r w:rsidRPr="007C5FF3">
        <w:t xml:space="preserve">Joseph A. DiRuzzo, III </w:t>
      </w:r>
      <w:r>
        <w:tab/>
      </w:r>
      <w:r>
        <w:tab/>
      </w:r>
      <w:r>
        <w:tab/>
      </w:r>
      <w:r>
        <w:tab/>
      </w:r>
      <w:r>
        <w:tab/>
      </w:r>
      <w:r w:rsidRPr="007C5FF3">
        <w:t>Nizar A. DeWood</w:t>
      </w:r>
    </w:p>
    <w:p w:rsidR="00D17FB8" w:rsidRPr="007C5FF3" w:rsidRDefault="00D17FB8" w:rsidP="00D17FB8">
      <w:pPr>
        <w:pStyle w:val="NoSpacing"/>
      </w:pPr>
      <w:r w:rsidRPr="007C5FF3">
        <w:t xml:space="preserve">Fuerst Ittleman David &amp; Joseph, PL </w:t>
      </w:r>
      <w:r>
        <w:tab/>
      </w:r>
      <w:r>
        <w:tab/>
      </w:r>
      <w:r>
        <w:tab/>
      </w:r>
      <w:r w:rsidRPr="007C5FF3">
        <w:t>The Dewood Law Firm</w:t>
      </w:r>
    </w:p>
    <w:p w:rsidR="00D17FB8" w:rsidRPr="007C5FF3" w:rsidRDefault="00D17FB8" w:rsidP="00D17FB8">
      <w:pPr>
        <w:pStyle w:val="NoSpacing"/>
      </w:pPr>
      <w:r w:rsidRPr="007C5FF3">
        <w:t xml:space="preserve">1001 Brickell Bay Drive, 32nd. Fl. 2006 </w:t>
      </w:r>
      <w:r>
        <w:tab/>
      </w:r>
      <w:r>
        <w:tab/>
      </w:r>
      <w:r>
        <w:tab/>
      </w:r>
      <w:r w:rsidRPr="007C5FF3">
        <w:t>Eastern Suburb, Suite 101</w:t>
      </w:r>
    </w:p>
    <w:p w:rsidR="00D17FB8" w:rsidRPr="007C5FF3" w:rsidRDefault="00D17FB8" w:rsidP="00D17FB8">
      <w:pPr>
        <w:pStyle w:val="NoSpacing"/>
      </w:pPr>
      <w:r w:rsidRPr="007C5FF3">
        <w:t xml:space="preserve">Miami, FL  33131 </w:t>
      </w:r>
      <w:r>
        <w:tab/>
      </w:r>
      <w:r>
        <w:tab/>
      </w:r>
      <w:r>
        <w:tab/>
      </w:r>
      <w:r>
        <w:tab/>
      </w:r>
      <w:r>
        <w:tab/>
      </w:r>
      <w:r>
        <w:tab/>
      </w:r>
      <w:r w:rsidRPr="007C5FF3">
        <w:t>Christiansted, VI 00820</w:t>
      </w:r>
    </w:p>
    <w:p w:rsidR="00D17FB8" w:rsidRDefault="00D17FB8" w:rsidP="00D17FB8">
      <w:pPr>
        <w:pStyle w:val="NoSpacing"/>
      </w:pPr>
    </w:p>
    <w:p w:rsidR="0001144B" w:rsidRDefault="0001144B" w:rsidP="00D17FB8">
      <w:pPr>
        <w:pStyle w:val="NoSpacing"/>
      </w:pPr>
    </w:p>
    <w:p w:rsidR="0001144B" w:rsidRDefault="0001144B" w:rsidP="00D17FB8">
      <w:pPr>
        <w:pStyle w:val="NoSpacing"/>
      </w:pPr>
    </w:p>
    <w:p w:rsidR="0001144B" w:rsidRDefault="0001144B" w:rsidP="00D17FB8">
      <w:pPr>
        <w:pStyle w:val="NoSpacing"/>
      </w:pPr>
    </w:p>
    <w:p w:rsidR="0001144B" w:rsidRPr="007C5FF3" w:rsidRDefault="0001144B" w:rsidP="00D17FB8">
      <w:pPr>
        <w:pStyle w:val="NoSpacing"/>
      </w:pPr>
      <w:bookmarkStart w:id="29" w:name="_GoBack"/>
      <w:bookmarkEnd w:id="29"/>
    </w:p>
    <w:p w:rsidR="00BF2944" w:rsidRPr="00F522D8" w:rsidRDefault="00D17FB8" w:rsidP="00EC2234">
      <w:pPr>
        <w:spacing w:after="200" w:line="276" w:lineRule="auto"/>
        <w:ind w:left="5040" w:firstLine="720"/>
        <w:rPr>
          <w:rFonts w:cs="Arial"/>
          <w:color w:val="000000" w:themeColor="text1"/>
        </w:rPr>
      </w:pPr>
      <w:proofErr w:type="gramStart"/>
      <w:r>
        <w:rPr>
          <w:rFonts w:cs="Arial"/>
          <w:u w:val="single"/>
        </w:rPr>
        <w:t>/s/</w:t>
      </w:r>
      <w:r>
        <w:rPr>
          <w:rFonts w:cs="Arial"/>
          <w:i/>
          <w:u w:val="single"/>
        </w:rPr>
        <w:t>Joel H. Holt, Esq.</w:t>
      </w:r>
      <w:proofErr w:type="gramEnd"/>
      <w:r w:rsidR="00444C1B">
        <w:rPr>
          <w:rFonts w:cs="Arial"/>
          <w:i/>
          <w:u w:val="single"/>
        </w:rPr>
        <w:tab/>
      </w:r>
      <w:r w:rsidR="00444C1B">
        <w:rPr>
          <w:rFonts w:cs="Arial"/>
          <w:i/>
          <w:u w:val="single"/>
        </w:rPr>
        <w:tab/>
      </w:r>
      <w:r w:rsidR="00444C1B">
        <w:rPr>
          <w:rFonts w:cs="Arial"/>
          <w:i/>
          <w:u w:val="single"/>
        </w:rPr>
        <w:tab/>
      </w:r>
      <w:r>
        <w:rPr>
          <w:rFonts w:cs="Arial"/>
          <w:i/>
          <w:u w:val="single"/>
        </w:rPr>
        <w:t xml:space="preserve">         </w:t>
      </w:r>
    </w:p>
    <w:sectPr w:rsidR="00BF2944" w:rsidRPr="00F522D8" w:rsidSect="00EC16E7">
      <w:headerReference w:type="default" r:id="rId10"/>
      <w:pgSz w:w="12240" w:h="15840"/>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3C" w:rsidRDefault="000E5E3C" w:rsidP="007470C4">
      <w:r>
        <w:separator/>
      </w:r>
    </w:p>
  </w:endnote>
  <w:endnote w:type="continuationSeparator" w:id="0">
    <w:p w:rsidR="000E5E3C" w:rsidRDefault="000E5E3C" w:rsidP="007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3C" w:rsidRDefault="000E5E3C" w:rsidP="007470C4">
      <w:r>
        <w:separator/>
      </w:r>
    </w:p>
  </w:footnote>
  <w:footnote w:type="continuationSeparator" w:id="0">
    <w:p w:rsidR="000E5E3C" w:rsidRDefault="000E5E3C" w:rsidP="007470C4">
      <w:r>
        <w:continuationSeparator/>
      </w:r>
    </w:p>
  </w:footnote>
  <w:footnote w:id="1">
    <w:p w:rsidR="00204568" w:rsidRPr="005875B0" w:rsidRDefault="00204568" w:rsidP="001E526B">
      <w:pPr>
        <w:pStyle w:val="FootnoteText"/>
        <w:spacing w:after="120"/>
        <w:jc w:val="both"/>
        <w:rPr>
          <w:rFonts w:cs="Arial"/>
          <w:sz w:val="24"/>
          <w:szCs w:val="24"/>
        </w:rPr>
      </w:pPr>
      <w:r w:rsidRPr="001E526B">
        <w:rPr>
          <w:rStyle w:val="FootnoteReference"/>
          <w:rFonts w:cs="Arial"/>
          <w:sz w:val="24"/>
          <w:szCs w:val="24"/>
        </w:rPr>
        <w:footnoteRef/>
      </w:r>
      <w:r w:rsidRPr="005875B0">
        <w:rPr>
          <w:rFonts w:cs="Arial"/>
          <w:sz w:val="24"/>
          <w:szCs w:val="24"/>
        </w:rPr>
        <w:t xml:space="preserve"> </w:t>
      </w:r>
      <w:r w:rsidRPr="005875B0">
        <w:rPr>
          <w:rFonts w:cs="Arial"/>
          <w:i/>
          <w:sz w:val="24"/>
          <w:szCs w:val="24"/>
        </w:rPr>
        <w:t>See</w:t>
      </w:r>
      <w:r>
        <w:rPr>
          <w:rFonts w:cs="Arial"/>
          <w:i/>
          <w:sz w:val="24"/>
          <w:szCs w:val="24"/>
        </w:rPr>
        <w:t xml:space="preserve"> also</w:t>
      </w:r>
      <w:r w:rsidRPr="005875B0">
        <w:rPr>
          <w:rFonts w:cs="Arial"/>
          <w:i/>
          <w:sz w:val="24"/>
          <w:szCs w:val="24"/>
        </w:rPr>
        <w:t xml:space="preserve"> Seaboard Sur. Co. v. Richard F. Kline, Inc.,</w:t>
      </w:r>
      <w:r w:rsidRPr="005875B0">
        <w:rPr>
          <w:rFonts w:cs="Arial"/>
          <w:sz w:val="24"/>
          <w:szCs w:val="24"/>
        </w:rPr>
        <w:t xml:space="preserve"> 91 Md.App. 236, 247, 603 A.2d 1357, 1362 (Md.App. 1992) (</w:t>
      </w:r>
      <w:r w:rsidR="00354C8C">
        <w:rPr>
          <w:rFonts w:cs="Arial"/>
          <w:sz w:val="24"/>
          <w:szCs w:val="24"/>
        </w:rPr>
        <w:t>“</w:t>
      </w:r>
      <w:r w:rsidRPr="005875B0">
        <w:rPr>
          <w:rFonts w:cs="Arial"/>
          <w:sz w:val="24"/>
          <w:szCs w:val="24"/>
        </w:rPr>
        <w:t>As a partnership, the Joint Venture</w:t>
      </w:r>
      <w:r>
        <w:rPr>
          <w:rFonts w:cs="Arial"/>
          <w:sz w:val="24"/>
          <w:szCs w:val="24"/>
        </w:rPr>
        <w:t>’</w:t>
      </w:r>
      <w:r w:rsidRPr="005875B0">
        <w:rPr>
          <w:rFonts w:cs="Arial"/>
          <w:sz w:val="24"/>
          <w:szCs w:val="24"/>
        </w:rPr>
        <w:t>s conduct is governed by the Maryland UPA</w:t>
      </w:r>
      <w:r w:rsidR="00354C8C">
        <w:rPr>
          <w:rFonts w:cs="Arial"/>
          <w:sz w:val="24"/>
          <w:szCs w:val="24"/>
        </w:rPr>
        <w:t>”</w:t>
      </w:r>
      <w:r w:rsidRPr="005875B0">
        <w:rPr>
          <w:rFonts w:cs="Arial"/>
          <w:sz w:val="24"/>
          <w:szCs w:val="24"/>
        </w:rPr>
        <w:t xml:space="preserve">); </w:t>
      </w:r>
      <w:r w:rsidRPr="005875B0">
        <w:rPr>
          <w:rFonts w:cs="Arial"/>
          <w:i/>
          <w:sz w:val="24"/>
          <w:szCs w:val="24"/>
        </w:rPr>
        <w:t>Austin v. Truly</w:t>
      </w:r>
      <w:r w:rsidRPr="005875B0">
        <w:rPr>
          <w:rFonts w:cs="Arial"/>
          <w:sz w:val="24"/>
          <w:szCs w:val="24"/>
        </w:rPr>
        <w:t>, 721 S.W.2d 913, 920 (Tex.App.</w:t>
      </w:r>
      <w:r>
        <w:rPr>
          <w:rFonts w:cs="Arial"/>
          <w:sz w:val="24"/>
          <w:szCs w:val="24"/>
        </w:rPr>
        <w:t xml:space="preserve"> </w:t>
      </w:r>
      <w:r w:rsidRPr="005875B0">
        <w:rPr>
          <w:rFonts w:cs="Arial"/>
          <w:sz w:val="24"/>
          <w:szCs w:val="24"/>
        </w:rPr>
        <w:t>1986) (</w:t>
      </w:r>
      <w:r w:rsidR="00354C8C">
        <w:rPr>
          <w:rFonts w:cs="Arial"/>
          <w:sz w:val="24"/>
          <w:szCs w:val="24"/>
        </w:rPr>
        <w:t>“</w:t>
      </w:r>
      <w:r w:rsidRPr="005875B0">
        <w:rPr>
          <w:rFonts w:cs="Arial"/>
          <w:sz w:val="24"/>
          <w:szCs w:val="24"/>
        </w:rPr>
        <w:t>It is a fundamental rule of law that a joint venture, such as this one is, is also a general partnership. Being a general partnership, this venture is subject to the Texas UPA</w:t>
      </w:r>
      <w:r w:rsidR="00354C8C">
        <w:rPr>
          <w:rFonts w:cs="Arial"/>
          <w:sz w:val="24"/>
          <w:szCs w:val="24"/>
        </w:rPr>
        <w:t>”</w:t>
      </w:r>
      <w:r w:rsidRPr="005875B0">
        <w:rPr>
          <w:rFonts w:cs="Arial"/>
          <w:sz w:val="24"/>
          <w:szCs w:val="24"/>
        </w:rPr>
        <w:t>);</w:t>
      </w:r>
      <w:r w:rsidRPr="005875B0">
        <w:rPr>
          <w:rFonts w:cs="Arial"/>
          <w:i/>
          <w:iCs/>
          <w:sz w:val="24"/>
          <w:szCs w:val="24"/>
        </w:rPr>
        <w:t xml:space="preserve"> </w:t>
      </w:r>
      <w:r w:rsidRPr="005875B0">
        <w:rPr>
          <w:rFonts w:cs="Arial"/>
          <w:i/>
          <w:sz w:val="24"/>
          <w:szCs w:val="24"/>
        </w:rPr>
        <w:t>Stone-Fox, Inc. v. Vandehey Development Co.</w:t>
      </w:r>
      <w:r w:rsidRPr="005875B0">
        <w:rPr>
          <w:rFonts w:cs="Arial"/>
          <w:sz w:val="24"/>
          <w:szCs w:val="24"/>
        </w:rPr>
        <w:t xml:space="preserve">, 290 </w:t>
      </w:r>
      <w:proofErr w:type="gramStart"/>
      <w:r w:rsidRPr="005875B0">
        <w:rPr>
          <w:rFonts w:cs="Arial"/>
          <w:sz w:val="24"/>
          <w:szCs w:val="24"/>
        </w:rPr>
        <w:t>Or</w:t>
      </w:r>
      <w:proofErr w:type="gramEnd"/>
      <w:r w:rsidRPr="005875B0">
        <w:rPr>
          <w:rFonts w:cs="Arial"/>
          <w:sz w:val="24"/>
          <w:szCs w:val="24"/>
        </w:rPr>
        <w:t xml:space="preserve">. 779, 785, </w:t>
      </w:r>
      <w:proofErr w:type="gramStart"/>
      <w:r w:rsidRPr="005875B0">
        <w:rPr>
          <w:rFonts w:cs="Arial"/>
          <w:sz w:val="24"/>
          <w:szCs w:val="24"/>
        </w:rPr>
        <w:t>626</w:t>
      </w:r>
      <w:proofErr w:type="gramEnd"/>
      <w:r w:rsidRPr="005875B0">
        <w:rPr>
          <w:rFonts w:cs="Arial"/>
          <w:sz w:val="24"/>
          <w:szCs w:val="24"/>
        </w:rPr>
        <w:t xml:space="preserve"> P.2d 1365, 1368 (Or. 1981) (</w:t>
      </w:r>
      <w:r w:rsidR="00354C8C">
        <w:rPr>
          <w:rFonts w:cs="Arial"/>
          <w:sz w:val="24"/>
          <w:szCs w:val="24"/>
        </w:rPr>
        <w:t>“</w:t>
      </w:r>
      <w:r w:rsidRPr="005875B0">
        <w:rPr>
          <w:rFonts w:cs="Arial"/>
          <w:sz w:val="24"/>
          <w:szCs w:val="24"/>
        </w:rPr>
        <w:t>This court has consistently held that partnership law controls joint ventures.</w:t>
      </w:r>
      <w:r w:rsidR="00354C8C">
        <w:rPr>
          <w:rFonts w:cs="Arial"/>
          <w:sz w:val="24"/>
          <w:szCs w:val="24"/>
        </w:rPr>
        <w:t>”</w:t>
      </w:r>
      <w:r w:rsidRPr="005875B0">
        <w:rPr>
          <w:rFonts w:cs="Arial"/>
          <w:sz w:val="24"/>
          <w:szCs w:val="24"/>
        </w:rPr>
        <w:t xml:space="preserve">) and </w:t>
      </w:r>
      <w:r w:rsidRPr="005875B0">
        <w:rPr>
          <w:rFonts w:cs="Arial"/>
          <w:i/>
          <w:sz w:val="24"/>
          <w:szCs w:val="24"/>
        </w:rPr>
        <w:t>Barrett v. Jones, Funderburg, Sessums, Peterson &amp; Lee, LLC</w:t>
      </w:r>
      <w:r w:rsidRPr="005875B0">
        <w:rPr>
          <w:rFonts w:cs="Arial"/>
          <w:sz w:val="24"/>
          <w:szCs w:val="24"/>
        </w:rPr>
        <w:t>, 27 So.3d 363, 372 (Miss. 2009) (</w:t>
      </w:r>
      <w:r w:rsidR="00354C8C">
        <w:rPr>
          <w:rFonts w:cs="Arial"/>
          <w:sz w:val="24"/>
          <w:szCs w:val="24"/>
        </w:rPr>
        <w:t>“</w:t>
      </w:r>
      <w:r w:rsidRPr="005875B0">
        <w:rPr>
          <w:rFonts w:cs="Arial"/>
          <w:sz w:val="24"/>
          <w:szCs w:val="24"/>
        </w:rPr>
        <w:t>As a joint venture, SKG was governed by Mississippi</w:t>
      </w:r>
      <w:r>
        <w:rPr>
          <w:rFonts w:cs="Arial"/>
          <w:sz w:val="24"/>
          <w:szCs w:val="24"/>
        </w:rPr>
        <w:t>’</w:t>
      </w:r>
      <w:r w:rsidRPr="005875B0">
        <w:rPr>
          <w:rFonts w:cs="Arial"/>
          <w:sz w:val="24"/>
          <w:szCs w:val="24"/>
        </w:rPr>
        <w:t xml:space="preserve">s partnership law, the </w:t>
      </w:r>
      <w:r>
        <w:rPr>
          <w:rFonts w:cs="Arial"/>
          <w:sz w:val="24"/>
          <w:szCs w:val="24"/>
        </w:rPr>
        <w:t>[</w:t>
      </w:r>
      <w:r w:rsidRPr="005875B0">
        <w:rPr>
          <w:rFonts w:cs="Arial"/>
          <w:sz w:val="24"/>
          <w:szCs w:val="24"/>
        </w:rPr>
        <w:t>UPA</w:t>
      </w:r>
      <w:r>
        <w:rPr>
          <w:rFonts w:cs="Arial"/>
          <w:sz w:val="24"/>
          <w:szCs w:val="24"/>
        </w:rPr>
        <w:t>]</w:t>
      </w:r>
      <w:r w:rsidRPr="005875B0">
        <w:rPr>
          <w:rFonts w:cs="Arial"/>
          <w:sz w:val="24"/>
          <w:szCs w:val="24"/>
        </w:rPr>
        <w:t xml:space="preserve"> of 1997</w:t>
      </w:r>
      <w:r>
        <w:rPr>
          <w:rFonts w:cs="Arial"/>
          <w:sz w:val="24"/>
          <w:szCs w:val="24"/>
        </w:rPr>
        <w:t xml:space="preserve">. . </w:t>
      </w:r>
      <w:r w:rsidRPr="005875B0">
        <w:rPr>
          <w:rFonts w:cs="Arial"/>
          <w:sz w:val="24"/>
          <w:szCs w:val="24"/>
        </w:rPr>
        <w:t>.</w:t>
      </w:r>
      <w:r w:rsidR="00354C8C">
        <w:rPr>
          <w:rFonts w:cs="Arial"/>
          <w:sz w:val="24"/>
          <w:szCs w:val="24"/>
        </w:rPr>
        <w:t>”</w:t>
      </w:r>
      <w:r w:rsidRPr="005875B0">
        <w:rPr>
          <w:rFonts w:cs="Arial"/>
          <w:sz w:val="24"/>
          <w:szCs w:val="24"/>
        </w:rPr>
        <w:t>)</w:t>
      </w:r>
    </w:p>
  </w:footnote>
  <w:footnote w:id="2">
    <w:p w:rsidR="00204568" w:rsidRPr="00DA3B23" w:rsidRDefault="00204568" w:rsidP="00DD207C">
      <w:pPr>
        <w:pStyle w:val="FootnoteText"/>
        <w:jc w:val="both"/>
        <w:rPr>
          <w:sz w:val="24"/>
          <w:szCs w:val="24"/>
        </w:rPr>
      </w:pPr>
      <w:r w:rsidRPr="00DA3B23">
        <w:rPr>
          <w:rStyle w:val="FootnoteReference"/>
          <w:sz w:val="24"/>
          <w:szCs w:val="24"/>
        </w:rPr>
        <w:footnoteRef/>
      </w:r>
      <w:r w:rsidRPr="00DA3B23">
        <w:rPr>
          <w:sz w:val="24"/>
          <w:szCs w:val="24"/>
        </w:rPr>
        <w:t xml:space="preserve"> Title 26 </w:t>
      </w:r>
      <w:r>
        <w:rPr>
          <w:sz w:val="24"/>
          <w:szCs w:val="24"/>
        </w:rPr>
        <w:t>enacted</w:t>
      </w:r>
      <w:r w:rsidRPr="00DA3B23">
        <w:rPr>
          <w:sz w:val="24"/>
          <w:szCs w:val="24"/>
        </w:rPr>
        <w:t xml:space="preserve"> the Uniform Partnership Act</w:t>
      </w:r>
      <w:r>
        <w:rPr>
          <w:sz w:val="24"/>
          <w:szCs w:val="24"/>
        </w:rPr>
        <w:t xml:space="preserve"> (UPA)</w:t>
      </w:r>
      <w:r w:rsidRPr="00DA3B23">
        <w:rPr>
          <w:sz w:val="24"/>
          <w:szCs w:val="24"/>
        </w:rPr>
        <w:t>.</w:t>
      </w:r>
      <w:r>
        <w:rPr>
          <w:sz w:val="24"/>
          <w:szCs w:val="24"/>
        </w:rPr>
        <w:t xml:space="preserve"> </w:t>
      </w:r>
      <w:r w:rsidRPr="00DA3B23">
        <w:rPr>
          <w:sz w:val="24"/>
          <w:szCs w:val="24"/>
        </w:rPr>
        <w:t xml:space="preserve"> The Legislature adopted an amended version in 1998, but original sections are almost identical to the language now in effect as it relates to these rights.</w:t>
      </w:r>
      <w:r>
        <w:rPr>
          <w:sz w:val="24"/>
          <w:szCs w:val="24"/>
        </w:rPr>
        <w:t xml:space="preserve"> </w:t>
      </w:r>
      <w:r w:rsidRPr="00DA3B23">
        <w:rPr>
          <w:sz w:val="24"/>
          <w:szCs w:val="24"/>
        </w:rPr>
        <w:t xml:space="preserve"> While the changes are not significant, because this partnership was formed in 1986, the provisions of the original act cited here covers the issues related to the formation of the partnership.</w:t>
      </w:r>
      <w:r>
        <w:rPr>
          <w:sz w:val="24"/>
          <w:szCs w:val="24"/>
        </w:rPr>
        <w:t xml:space="preserve">  </w:t>
      </w:r>
      <w:r w:rsidRPr="00DA3B23">
        <w:rPr>
          <w:i/>
          <w:sz w:val="24"/>
          <w:szCs w:val="24"/>
        </w:rPr>
        <w:t>See</w:t>
      </w:r>
      <w:r>
        <w:rPr>
          <w:i/>
          <w:sz w:val="24"/>
          <w:szCs w:val="24"/>
        </w:rPr>
        <w:t>,</w:t>
      </w:r>
      <w:r w:rsidRPr="00DA3B23">
        <w:rPr>
          <w:i/>
          <w:sz w:val="24"/>
          <w:szCs w:val="24"/>
        </w:rPr>
        <w:t xml:space="preserve"> </w:t>
      </w:r>
      <w:r w:rsidRPr="00DA3B23">
        <w:rPr>
          <w:rFonts w:cs="Arial"/>
          <w:i/>
          <w:iCs/>
          <w:sz w:val="24"/>
          <w:szCs w:val="24"/>
        </w:rPr>
        <w:t>Harrison v. Bornn, Bornn &amp; Handy</w:t>
      </w:r>
      <w:r w:rsidRPr="00DA3B23">
        <w:rPr>
          <w:rFonts w:cs="Arial"/>
          <w:sz w:val="24"/>
          <w:szCs w:val="24"/>
        </w:rPr>
        <w:t>, 200 F.R.D. 509, 514 (D.V.I. 2001) (</w:t>
      </w:r>
      <w:r>
        <w:rPr>
          <w:rFonts w:cs="Arial"/>
          <w:sz w:val="24"/>
          <w:szCs w:val="24"/>
        </w:rPr>
        <w:t>“</w:t>
      </w:r>
      <w:r w:rsidRPr="00DA3B23">
        <w:rPr>
          <w:rFonts w:cs="Arial"/>
          <w:sz w:val="24"/>
          <w:szCs w:val="24"/>
        </w:rPr>
        <w:t>The amendment was enacted on February 12, 1998, and by its express terms took effect May 1, 1998. . . .The Court must therefore look to the previous statute for guidance.</w:t>
      </w:r>
      <w:r>
        <w:rPr>
          <w:rFonts w:cs="Arial"/>
          <w:sz w:val="24"/>
          <w:szCs w:val="24"/>
        </w:rPr>
        <w:t>”</w:t>
      </w:r>
      <w:r w:rsidRPr="00DA3B23">
        <w:rPr>
          <w:rFonts w:cs="Arial"/>
          <w:sz w:val="24"/>
          <w:szCs w:val="24"/>
        </w:rPr>
        <w:t>)</w:t>
      </w:r>
    </w:p>
  </w:footnote>
  <w:footnote w:id="3">
    <w:p w:rsidR="00204568" w:rsidRPr="00407367" w:rsidRDefault="00204568" w:rsidP="00407367">
      <w:pPr>
        <w:pStyle w:val="FootnoteText"/>
        <w:jc w:val="both"/>
        <w:rPr>
          <w:sz w:val="24"/>
          <w:szCs w:val="24"/>
        </w:rPr>
      </w:pPr>
      <w:r w:rsidRPr="00407367">
        <w:rPr>
          <w:rStyle w:val="FootnoteReference"/>
          <w:sz w:val="24"/>
          <w:szCs w:val="24"/>
        </w:rPr>
        <w:footnoteRef/>
      </w:r>
      <w:r w:rsidRPr="00407367">
        <w:rPr>
          <w:sz w:val="24"/>
          <w:szCs w:val="24"/>
        </w:rPr>
        <w:t xml:space="preserve"> These excerpts attached to the amended compla</w:t>
      </w:r>
      <w:r>
        <w:rPr>
          <w:sz w:val="24"/>
          <w:szCs w:val="24"/>
        </w:rPr>
        <w:t xml:space="preserve">int are also attached hereto as </w:t>
      </w:r>
      <w:r w:rsidRPr="00407367">
        <w:rPr>
          <w:sz w:val="24"/>
          <w:szCs w:val="24"/>
        </w:rPr>
        <w:t>Exhibit 1 to assist the Court.</w:t>
      </w:r>
    </w:p>
  </w:footnote>
  <w:footnote w:id="4">
    <w:p w:rsidR="00204568" w:rsidRPr="005875B0" w:rsidRDefault="00204568" w:rsidP="00141B09">
      <w:pPr>
        <w:jc w:val="both"/>
        <w:rPr>
          <w:rFonts w:cs="Arial"/>
          <w:b/>
        </w:rPr>
      </w:pPr>
      <w:r w:rsidRPr="005875B0">
        <w:rPr>
          <w:rStyle w:val="FootnoteReference"/>
          <w:rFonts w:cs="Arial"/>
        </w:rPr>
        <w:footnoteRef/>
      </w:r>
      <w:r w:rsidRPr="005875B0">
        <w:rPr>
          <w:rFonts w:cs="Arial"/>
        </w:rPr>
        <w:t xml:space="preserve"> Yusuf put it perfectly:</w:t>
      </w:r>
      <w:r>
        <w:rPr>
          <w:rFonts w:cs="Arial"/>
        </w:rPr>
        <w:t xml:space="preserve"> </w:t>
      </w:r>
      <w:r w:rsidRPr="005875B0">
        <w:rPr>
          <w:rFonts w:cs="Arial"/>
        </w:rPr>
        <w:t xml:space="preserve"> </w:t>
      </w:r>
      <w:r>
        <w:rPr>
          <w:rFonts w:cs="Arial"/>
        </w:rPr>
        <w:t>“</w:t>
      </w:r>
      <w:r w:rsidRPr="005875B0">
        <w:rPr>
          <w:rFonts w:cs="Arial"/>
        </w:rPr>
        <w:t xml:space="preserve">But I want you please to be aware that my partner’s with me since 1984, and up to now his name is not in my corporation.  And that -- excuse me and that prove my honesty.  Because if I was not honest, my brother-in-law will not let me control his 50 percent.  And I know very well, my wife knows, my children knows, that </w:t>
      </w:r>
      <w:r w:rsidRPr="005875B0">
        <w:rPr>
          <w:rFonts w:cs="Arial"/>
          <w:b/>
        </w:rPr>
        <w:t xml:space="preserve">whatever </w:t>
      </w:r>
      <w:r w:rsidRPr="005875B0">
        <w:rPr>
          <w:rFonts w:cs="Arial"/>
          <w:b/>
          <w:u w:val="single"/>
        </w:rPr>
        <w:t>Plaza Extra</w:t>
      </w:r>
      <w:r w:rsidRPr="005875B0">
        <w:rPr>
          <w:rFonts w:cs="Arial"/>
          <w:b/>
        </w:rPr>
        <w:t xml:space="preserve"> owns in assets, in receivable or payable, we have a 50 percent partner</w:t>
      </w:r>
      <w:r w:rsidRPr="005875B0">
        <w:rPr>
          <w:rFonts w:cs="Arial"/>
        </w:rPr>
        <w:t>.</w:t>
      </w:r>
      <w:r>
        <w:rPr>
          <w:rFonts w:cs="Arial"/>
        </w:rPr>
        <w:t xml:space="preserve">” </w:t>
      </w:r>
      <w:r w:rsidRPr="005875B0">
        <w:rPr>
          <w:rFonts w:cs="Arial"/>
        </w:rPr>
        <w:t xml:space="preserve"> </w:t>
      </w:r>
      <w:r w:rsidRPr="00EC16E7">
        <w:rPr>
          <w:rFonts w:cs="Arial"/>
          <w:i/>
        </w:rPr>
        <w:t>See</w:t>
      </w:r>
      <w:r>
        <w:rPr>
          <w:rFonts w:cs="Arial"/>
        </w:rPr>
        <w:t xml:space="preserve"> </w:t>
      </w:r>
      <w:r w:rsidRPr="00EC2234">
        <w:rPr>
          <w:rFonts w:cs="Arial"/>
          <w:b/>
        </w:rPr>
        <w:t>Exhibit 1</w:t>
      </w:r>
      <w:r>
        <w:rPr>
          <w:rFonts w:cs="Arial"/>
        </w:rPr>
        <w:t xml:space="preserve"> at p. 23:18-25. </w:t>
      </w:r>
    </w:p>
    <w:p w:rsidR="00204568" w:rsidRPr="005875B0" w:rsidRDefault="00204568" w:rsidP="00141B09">
      <w:pPr>
        <w:pStyle w:val="FootnoteText"/>
        <w:jc w:val="both"/>
        <w:rPr>
          <w:rFonts w:cs="Arial"/>
          <w:sz w:val="24"/>
          <w:szCs w:val="24"/>
        </w:rPr>
      </w:pPr>
    </w:p>
  </w:footnote>
  <w:footnote w:id="5">
    <w:p w:rsidR="00204568" w:rsidRDefault="00204568" w:rsidP="008D13C2">
      <w:pPr>
        <w:pStyle w:val="FootnoteText"/>
        <w:jc w:val="both"/>
        <w:rPr>
          <w:rFonts w:cs="Arial"/>
          <w:bCs/>
          <w:color w:val="000000" w:themeColor="text1"/>
          <w:sz w:val="24"/>
          <w:szCs w:val="24"/>
        </w:rPr>
      </w:pPr>
      <w:r w:rsidRPr="008D13C2">
        <w:rPr>
          <w:rStyle w:val="FootnoteReference"/>
          <w:sz w:val="24"/>
          <w:szCs w:val="24"/>
        </w:rPr>
        <w:footnoteRef/>
      </w:r>
      <w:r w:rsidRPr="008D13C2">
        <w:rPr>
          <w:sz w:val="24"/>
          <w:szCs w:val="24"/>
        </w:rPr>
        <w:t xml:space="preserve"> </w:t>
      </w:r>
      <w:r w:rsidRPr="008D13C2">
        <w:rPr>
          <w:rFonts w:cs="Arial"/>
          <w:i/>
          <w:color w:val="000000" w:themeColor="text1"/>
          <w:sz w:val="24"/>
          <w:szCs w:val="24"/>
        </w:rPr>
        <w:t>See e.g. Sheridan Healthcorp, Inc. v. Amko</w:t>
      </w:r>
      <w:r w:rsidRPr="008D13C2">
        <w:rPr>
          <w:rFonts w:cs="Arial"/>
          <w:color w:val="000000" w:themeColor="text1"/>
          <w:sz w:val="24"/>
          <w:szCs w:val="24"/>
        </w:rPr>
        <w:t>, 993 So.2d 167, 170 (</w:t>
      </w:r>
      <w:proofErr w:type="spellStart"/>
      <w:r w:rsidRPr="008D13C2">
        <w:rPr>
          <w:rFonts w:cs="Arial"/>
          <w:color w:val="000000" w:themeColor="text1"/>
          <w:sz w:val="24"/>
          <w:szCs w:val="24"/>
        </w:rPr>
        <w:t>Fla.App</w:t>
      </w:r>
      <w:proofErr w:type="spellEnd"/>
      <w:r w:rsidRPr="008D13C2">
        <w:rPr>
          <w:rFonts w:cs="Arial"/>
          <w:color w:val="000000" w:themeColor="text1"/>
          <w:sz w:val="24"/>
          <w:szCs w:val="24"/>
        </w:rPr>
        <w:t>. 4 Dist. 2008)</w:t>
      </w:r>
      <w:bookmarkStart w:id="8" w:name="B32017369650"/>
      <w:bookmarkEnd w:id="8"/>
      <w:r w:rsidRPr="008D13C2">
        <w:rPr>
          <w:rFonts w:cs="Arial"/>
          <w:color w:val="000000" w:themeColor="text1"/>
          <w:sz w:val="24"/>
          <w:szCs w:val="24"/>
        </w:rPr>
        <w:t xml:space="preserve"> (</w:t>
      </w:r>
      <w:r>
        <w:rPr>
          <w:rFonts w:cs="Arial"/>
          <w:color w:val="000000" w:themeColor="text1"/>
          <w:sz w:val="24"/>
          <w:szCs w:val="24"/>
        </w:rPr>
        <w:t>“</w:t>
      </w:r>
      <w:r w:rsidRPr="0051061C">
        <w:rPr>
          <w:rFonts w:cs="Arial"/>
          <w:bCs/>
          <w:iCs/>
          <w:color w:val="000000" w:themeColor="text1"/>
          <w:sz w:val="24"/>
          <w:szCs w:val="24"/>
        </w:rPr>
        <w:t>The fact that joint adventurers may determine to carry out the purpose of the agreement through the medium of a corporation does not change the essential nature of the relationship</w:t>
      </w:r>
      <w:r w:rsidRPr="008D13C2">
        <w:rPr>
          <w:rFonts w:cs="Arial"/>
          <w:bCs/>
          <w:color w:val="000000" w:themeColor="text1"/>
          <w:sz w:val="24"/>
          <w:szCs w:val="24"/>
        </w:rPr>
        <w:t>”);</w:t>
      </w:r>
      <w:r>
        <w:rPr>
          <w:rFonts w:cs="Arial"/>
          <w:bCs/>
          <w:color w:val="000000" w:themeColor="text1"/>
          <w:sz w:val="24"/>
          <w:szCs w:val="24"/>
        </w:rPr>
        <w:t xml:space="preserve"> </w:t>
      </w:r>
      <w:r w:rsidRPr="008D13C2">
        <w:rPr>
          <w:rFonts w:cs="Arial"/>
          <w:i/>
          <w:color w:val="000000" w:themeColor="text1"/>
          <w:sz w:val="24"/>
          <w:szCs w:val="24"/>
        </w:rPr>
        <w:t>McDonald v. McDonald</w:t>
      </w:r>
      <w:r w:rsidRPr="008D13C2">
        <w:rPr>
          <w:rFonts w:cs="Arial"/>
          <w:color w:val="000000" w:themeColor="text1"/>
          <w:sz w:val="24"/>
          <w:szCs w:val="24"/>
        </w:rPr>
        <w:t xml:space="preserve">, 53 Wis.2d 371, </w:t>
      </w:r>
      <w:r>
        <w:rPr>
          <w:rFonts w:cs="Arial"/>
          <w:color w:val="000000" w:themeColor="text1"/>
          <w:sz w:val="24"/>
          <w:szCs w:val="24"/>
        </w:rPr>
        <w:t>380</w:t>
      </w:r>
      <w:r w:rsidRPr="008D13C2">
        <w:rPr>
          <w:rFonts w:cs="Arial"/>
          <w:color w:val="000000" w:themeColor="text1"/>
          <w:sz w:val="24"/>
          <w:szCs w:val="24"/>
        </w:rPr>
        <w:t xml:space="preserve">, 192 N.W.2d 903, 908 (Wis. 1972) </w:t>
      </w:r>
      <w:bookmarkStart w:id="9" w:name="B41972116942"/>
      <w:bookmarkEnd w:id="9"/>
      <w:r w:rsidRPr="008D13C2">
        <w:rPr>
          <w:rFonts w:cs="Arial"/>
          <w:color w:val="000000" w:themeColor="text1"/>
          <w:sz w:val="24"/>
          <w:szCs w:val="24"/>
        </w:rPr>
        <w:t>(</w:t>
      </w:r>
      <w:r>
        <w:rPr>
          <w:rFonts w:cs="Arial"/>
          <w:color w:val="000000" w:themeColor="text1"/>
          <w:sz w:val="24"/>
          <w:szCs w:val="24"/>
        </w:rPr>
        <w:t>“</w:t>
      </w:r>
      <w:r w:rsidRPr="008D13C2">
        <w:rPr>
          <w:rFonts w:cs="Arial"/>
          <w:color w:val="000000" w:themeColor="text1"/>
          <w:sz w:val="24"/>
          <w:szCs w:val="24"/>
        </w:rPr>
        <w:t>We find no basis for applying the doctrine of estoppel or laches. There was nothing inconsistent in the action of Chester, Jr</w:t>
      </w:r>
      <w:r w:rsidRPr="008D13C2">
        <w:rPr>
          <w:rFonts w:cs="Arial"/>
          <w:b/>
          <w:bCs/>
          <w:color w:val="000000" w:themeColor="text1"/>
          <w:sz w:val="24"/>
          <w:szCs w:val="24"/>
        </w:rPr>
        <w:t xml:space="preserve">., </w:t>
      </w:r>
      <w:r w:rsidRPr="008D13C2">
        <w:rPr>
          <w:rFonts w:cs="Arial"/>
          <w:bCs/>
          <w:color w:val="000000" w:themeColor="text1"/>
          <w:sz w:val="24"/>
          <w:szCs w:val="24"/>
        </w:rPr>
        <w:t>in partaking of the activities of the corporation over the years which would now foreclose him from asserting the corporation was an instrumentality by which the partnership carried on part of its business.</w:t>
      </w:r>
      <w:r>
        <w:rPr>
          <w:rFonts w:cs="Arial"/>
          <w:bCs/>
          <w:color w:val="000000" w:themeColor="text1"/>
          <w:sz w:val="24"/>
          <w:szCs w:val="24"/>
        </w:rPr>
        <w:t>”</w:t>
      </w:r>
      <w:r w:rsidRPr="008D13C2">
        <w:rPr>
          <w:rFonts w:cs="Arial"/>
          <w:bCs/>
          <w:color w:val="000000" w:themeColor="text1"/>
          <w:sz w:val="24"/>
          <w:szCs w:val="24"/>
        </w:rPr>
        <w:t>)</w:t>
      </w:r>
      <w:r>
        <w:rPr>
          <w:rFonts w:cs="Arial"/>
          <w:bCs/>
          <w:color w:val="000000" w:themeColor="text1"/>
          <w:sz w:val="24"/>
          <w:szCs w:val="24"/>
        </w:rPr>
        <w:t xml:space="preserve">; </w:t>
      </w:r>
      <w:r>
        <w:rPr>
          <w:rFonts w:cs="Arial"/>
          <w:bCs/>
          <w:i/>
          <w:color w:val="000000" w:themeColor="text1"/>
          <w:sz w:val="24"/>
          <w:szCs w:val="24"/>
        </w:rPr>
        <w:t>see also</w:t>
      </w:r>
      <w:r>
        <w:rPr>
          <w:rFonts w:cs="Arial"/>
          <w:bCs/>
          <w:color w:val="000000" w:themeColor="text1"/>
          <w:sz w:val="24"/>
          <w:szCs w:val="24"/>
        </w:rPr>
        <w:t xml:space="preserve"> </w:t>
      </w:r>
      <w:r w:rsidRPr="008D13C2">
        <w:rPr>
          <w:rFonts w:cs="Arial"/>
          <w:i/>
          <w:color w:val="000000" w:themeColor="text1"/>
          <w:sz w:val="24"/>
          <w:szCs w:val="24"/>
        </w:rPr>
        <w:t>Granik v. Perry</w:t>
      </w:r>
      <w:r w:rsidRPr="008D13C2">
        <w:rPr>
          <w:rFonts w:cs="Arial"/>
          <w:color w:val="000000" w:themeColor="text1"/>
          <w:sz w:val="24"/>
          <w:szCs w:val="24"/>
        </w:rPr>
        <w:t>, 418 F.2d 832, 836 (</w:t>
      </w:r>
      <w:proofErr w:type="spellStart"/>
      <w:r w:rsidRPr="008D13C2">
        <w:rPr>
          <w:rFonts w:cs="Arial"/>
          <w:color w:val="000000" w:themeColor="text1"/>
          <w:sz w:val="24"/>
          <w:szCs w:val="24"/>
        </w:rPr>
        <w:t>C.A.Fla</w:t>
      </w:r>
      <w:proofErr w:type="spellEnd"/>
      <w:r w:rsidRPr="008D13C2">
        <w:rPr>
          <w:rFonts w:cs="Arial"/>
          <w:color w:val="000000" w:themeColor="text1"/>
          <w:sz w:val="24"/>
          <w:szCs w:val="24"/>
        </w:rPr>
        <w:t>. 1969)</w:t>
      </w:r>
      <w:r w:rsidRPr="005D7921">
        <w:rPr>
          <w:rFonts w:cs="Arial"/>
          <w:color w:val="000000" w:themeColor="text1"/>
          <w:sz w:val="24"/>
          <w:szCs w:val="24"/>
        </w:rPr>
        <w:t xml:space="preserve"> </w:t>
      </w:r>
      <w:r w:rsidRPr="008D13C2">
        <w:rPr>
          <w:rFonts w:cs="Arial"/>
          <w:color w:val="000000" w:themeColor="text1"/>
          <w:sz w:val="24"/>
          <w:szCs w:val="24"/>
        </w:rPr>
        <w:t>(</w:t>
      </w:r>
      <w:r>
        <w:rPr>
          <w:rFonts w:cs="Arial"/>
          <w:color w:val="000000" w:themeColor="text1"/>
          <w:sz w:val="24"/>
          <w:szCs w:val="24"/>
        </w:rPr>
        <w:t>“</w:t>
      </w:r>
      <w:r w:rsidRPr="008D13C2">
        <w:rPr>
          <w:rFonts w:cs="Arial"/>
          <w:color w:val="000000" w:themeColor="text1"/>
          <w:sz w:val="24"/>
          <w:szCs w:val="24"/>
        </w:rPr>
        <w:t>The fact that joint adventurers may determine to carry out the purpose of the agreement through the medium of a corporation does not change the essential nature of the relationship</w:t>
      </w:r>
      <w:r>
        <w:rPr>
          <w:rFonts w:cs="Arial"/>
          <w:color w:val="000000" w:themeColor="text1"/>
          <w:sz w:val="24"/>
          <w:szCs w:val="24"/>
        </w:rPr>
        <w:t>”</w:t>
      </w:r>
      <w:r w:rsidRPr="008D13C2">
        <w:rPr>
          <w:rFonts w:cs="Arial"/>
          <w:color w:val="000000" w:themeColor="text1"/>
          <w:sz w:val="24"/>
          <w:szCs w:val="24"/>
        </w:rPr>
        <w:t xml:space="preserve">); </w:t>
      </w:r>
      <w:r>
        <w:rPr>
          <w:rFonts w:cs="Arial"/>
          <w:color w:val="000000" w:themeColor="text1"/>
          <w:sz w:val="24"/>
          <w:szCs w:val="24"/>
        </w:rPr>
        <w:t xml:space="preserve"> </w:t>
      </w:r>
      <w:proofErr w:type="spellStart"/>
      <w:r w:rsidRPr="008D13C2">
        <w:rPr>
          <w:rFonts w:cs="Arial"/>
          <w:i/>
          <w:iCs/>
          <w:color w:val="000000" w:themeColor="text1"/>
          <w:sz w:val="24"/>
          <w:szCs w:val="24"/>
        </w:rPr>
        <w:t>Jolin</w:t>
      </w:r>
      <w:proofErr w:type="spellEnd"/>
      <w:r w:rsidRPr="008D13C2">
        <w:rPr>
          <w:rFonts w:cs="Arial"/>
          <w:i/>
          <w:iCs/>
          <w:color w:val="000000" w:themeColor="text1"/>
          <w:sz w:val="24"/>
          <w:szCs w:val="24"/>
        </w:rPr>
        <w:t xml:space="preserve"> v. Oster,</w:t>
      </w:r>
      <w:r w:rsidRPr="008D13C2">
        <w:rPr>
          <w:rFonts w:cs="Arial"/>
          <w:color w:val="000000" w:themeColor="text1"/>
          <w:sz w:val="24"/>
          <w:szCs w:val="24"/>
        </w:rPr>
        <w:t xml:space="preserve"> 44 Wis.2d 623, 172 N.W.2d 12 (19</w:t>
      </w:r>
      <w:r>
        <w:rPr>
          <w:rFonts w:cs="Arial"/>
          <w:color w:val="000000" w:themeColor="text1"/>
          <w:sz w:val="24"/>
          <w:szCs w:val="24"/>
        </w:rPr>
        <w:t>69</w:t>
      </w:r>
      <w:r w:rsidRPr="008D13C2">
        <w:rPr>
          <w:rFonts w:cs="Arial"/>
          <w:color w:val="000000" w:themeColor="text1"/>
          <w:sz w:val="24"/>
          <w:szCs w:val="24"/>
        </w:rPr>
        <w:t>)</w:t>
      </w:r>
      <w:r w:rsidRPr="00696E93">
        <w:rPr>
          <w:rFonts w:cs="Arial"/>
          <w:color w:val="000000" w:themeColor="text1"/>
          <w:sz w:val="24"/>
          <w:szCs w:val="24"/>
        </w:rPr>
        <w:t xml:space="preserve"> </w:t>
      </w:r>
      <w:r w:rsidRPr="008D13C2">
        <w:rPr>
          <w:rFonts w:cs="Arial"/>
          <w:color w:val="000000" w:themeColor="text1"/>
          <w:sz w:val="24"/>
          <w:szCs w:val="24"/>
        </w:rPr>
        <w:t xml:space="preserve">(corporation was </w:t>
      </w:r>
      <w:r w:rsidRPr="008D13C2">
        <w:rPr>
          <w:rFonts w:cs="Arial"/>
          <w:iCs/>
          <w:color w:val="000000" w:themeColor="text1"/>
          <w:sz w:val="24"/>
          <w:szCs w:val="24"/>
        </w:rPr>
        <w:t>vehicle for conducting the business of a partnership</w:t>
      </w:r>
      <w:r w:rsidRPr="008D13C2">
        <w:rPr>
          <w:rFonts w:cs="Arial"/>
          <w:color w:val="000000" w:themeColor="text1"/>
          <w:sz w:val="24"/>
          <w:szCs w:val="24"/>
        </w:rPr>
        <w:t xml:space="preserve"> </w:t>
      </w:r>
      <w:r>
        <w:rPr>
          <w:rFonts w:cs="Arial"/>
          <w:color w:val="000000" w:themeColor="text1"/>
          <w:sz w:val="24"/>
          <w:szCs w:val="24"/>
        </w:rPr>
        <w:t>or joint venture</w:t>
      </w:r>
      <w:r w:rsidRPr="008D13C2">
        <w:rPr>
          <w:rFonts w:cs="Arial"/>
          <w:color w:val="000000" w:themeColor="text1"/>
          <w:sz w:val="24"/>
          <w:szCs w:val="24"/>
        </w:rPr>
        <w:t>)</w:t>
      </w:r>
      <w:r>
        <w:rPr>
          <w:rFonts w:cs="Arial"/>
          <w:color w:val="000000" w:themeColor="text1"/>
          <w:sz w:val="24"/>
          <w:szCs w:val="24"/>
        </w:rPr>
        <w:t>.</w:t>
      </w:r>
    </w:p>
    <w:p w:rsidR="00204568" w:rsidRPr="008D13C2" w:rsidRDefault="00204568" w:rsidP="008D13C2">
      <w:pPr>
        <w:pStyle w:val="FootnoteText"/>
        <w:jc w:val="both"/>
        <w:rPr>
          <w:sz w:val="24"/>
          <w:szCs w:val="24"/>
        </w:rPr>
      </w:pPr>
    </w:p>
  </w:footnote>
  <w:footnote w:id="6">
    <w:p w:rsidR="00204568" w:rsidRDefault="00204568" w:rsidP="006E4D00">
      <w:pPr>
        <w:autoSpaceDE w:val="0"/>
        <w:autoSpaceDN w:val="0"/>
        <w:adjustRightInd w:val="0"/>
        <w:jc w:val="both"/>
        <w:rPr>
          <w:rFonts w:cs="Arial"/>
        </w:rPr>
      </w:pPr>
      <w:r w:rsidRPr="005875B0">
        <w:rPr>
          <w:rStyle w:val="FootnoteReference"/>
          <w:rFonts w:cs="Arial"/>
        </w:rPr>
        <w:footnoteRef/>
      </w:r>
      <w:r w:rsidRPr="005875B0">
        <w:rPr>
          <w:rFonts w:cs="Arial"/>
        </w:rPr>
        <w:t xml:space="preserve"> Defendants concede </w:t>
      </w:r>
      <w:r>
        <w:rPr>
          <w:rFonts w:cs="Arial"/>
        </w:rPr>
        <w:t>“</w:t>
      </w:r>
      <w:r w:rsidRPr="005875B0">
        <w:rPr>
          <w:rFonts w:cs="Arial"/>
        </w:rPr>
        <w:t>[s]</w:t>
      </w:r>
      <w:proofErr w:type="spellStart"/>
      <w:r w:rsidRPr="005875B0">
        <w:rPr>
          <w:rFonts w:cs="Arial"/>
        </w:rPr>
        <w:t>ince</w:t>
      </w:r>
      <w:proofErr w:type="spellEnd"/>
      <w:r w:rsidRPr="005875B0">
        <w:rPr>
          <w:rFonts w:cs="Arial"/>
        </w:rPr>
        <w:t xml:space="preserve"> its inception, Defendant United has </w:t>
      </w:r>
      <w:r w:rsidRPr="005875B0">
        <w:rPr>
          <w:rFonts w:cs="Arial"/>
          <w:i/>
          <w:u w:val="single"/>
        </w:rPr>
        <w:t>always</w:t>
      </w:r>
      <w:r w:rsidRPr="005875B0">
        <w:rPr>
          <w:rFonts w:cs="Arial"/>
        </w:rPr>
        <w:t xml:space="preserve"> maintained </w:t>
      </w:r>
      <w:r w:rsidRPr="005875B0">
        <w:rPr>
          <w:rFonts w:cs="Arial"/>
          <w:i/>
        </w:rPr>
        <w:t>separate bank accounts</w:t>
      </w:r>
      <w:r w:rsidRPr="005875B0">
        <w:rPr>
          <w:rFonts w:cs="Arial"/>
        </w:rPr>
        <w:t xml:space="preserve"> to collect rents and other incomes unrelated to its supermarket operations.</w:t>
      </w:r>
      <w:r>
        <w:rPr>
          <w:rFonts w:cs="Arial"/>
        </w:rPr>
        <w:t xml:space="preserve">” </w:t>
      </w:r>
      <w:r w:rsidRPr="005875B0">
        <w:rPr>
          <w:rFonts w:cs="Arial"/>
        </w:rPr>
        <w:t xml:space="preserve"> </w:t>
      </w:r>
      <w:r>
        <w:rPr>
          <w:rFonts w:cs="Arial"/>
        </w:rPr>
        <w:t xml:space="preserve">(DE 29 </w:t>
      </w:r>
      <w:r w:rsidRPr="005875B0">
        <w:rPr>
          <w:rFonts w:cs="Arial"/>
        </w:rPr>
        <w:t xml:space="preserve">at </w:t>
      </w:r>
      <w:r>
        <w:rPr>
          <w:rFonts w:cs="Arial"/>
        </w:rPr>
        <w:t xml:space="preserve">p. </w:t>
      </w:r>
      <w:r w:rsidRPr="005875B0">
        <w:rPr>
          <w:rFonts w:cs="Arial"/>
        </w:rPr>
        <w:t>4</w:t>
      </w:r>
      <w:r>
        <w:rPr>
          <w:rFonts w:cs="Arial"/>
        </w:rPr>
        <w:t>)</w:t>
      </w:r>
      <w:r w:rsidRPr="005875B0">
        <w:rPr>
          <w:rFonts w:cs="Arial"/>
        </w:rPr>
        <w:t xml:space="preserve"> (Emphasis added.)</w:t>
      </w:r>
    </w:p>
    <w:p w:rsidR="00204568" w:rsidRPr="005875B0" w:rsidRDefault="00204568" w:rsidP="006E4D00">
      <w:pPr>
        <w:autoSpaceDE w:val="0"/>
        <w:autoSpaceDN w:val="0"/>
        <w:adjustRightInd w:val="0"/>
        <w:jc w:val="both"/>
        <w:rPr>
          <w:rFonts w:cs="Arial"/>
        </w:rPr>
      </w:pPr>
    </w:p>
  </w:footnote>
  <w:footnote w:id="7">
    <w:p w:rsidR="00204568" w:rsidRDefault="00204568" w:rsidP="008D6889">
      <w:pPr>
        <w:pStyle w:val="FootnoteText"/>
        <w:jc w:val="both"/>
      </w:pPr>
      <w:r>
        <w:rPr>
          <w:rStyle w:val="FootnoteReference"/>
        </w:rPr>
        <w:footnoteRef/>
      </w:r>
      <w:r>
        <w:t xml:space="preserve"> </w:t>
      </w:r>
      <w:r>
        <w:rPr>
          <w:rFonts w:cs="Arial"/>
          <w:color w:val="000000" w:themeColor="text1"/>
          <w:sz w:val="24"/>
          <w:szCs w:val="24"/>
        </w:rPr>
        <w:t>Moreover</w:t>
      </w:r>
      <w:r w:rsidRPr="005875B0">
        <w:rPr>
          <w:rFonts w:cs="Arial"/>
          <w:color w:val="000000" w:themeColor="text1"/>
          <w:sz w:val="24"/>
          <w:szCs w:val="24"/>
        </w:rPr>
        <w:t>, the Statute of Frauds defense is un</w:t>
      </w:r>
      <w:r>
        <w:rPr>
          <w:rFonts w:cs="Arial"/>
          <w:color w:val="000000" w:themeColor="text1"/>
          <w:sz w:val="24"/>
          <w:szCs w:val="24"/>
        </w:rPr>
        <w:t xml:space="preserve">available </w:t>
      </w:r>
      <w:r w:rsidRPr="005875B0">
        <w:rPr>
          <w:rFonts w:cs="Arial"/>
          <w:color w:val="000000" w:themeColor="text1"/>
          <w:sz w:val="24"/>
          <w:szCs w:val="24"/>
        </w:rPr>
        <w:t>where one party has fully performed under a contract.</w:t>
      </w:r>
      <w:r w:rsidRPr="005875B0">
        <w:rPr>
          <w:rFonts w:cs="Arial"/>
          <w:i/>
          <w:color w:val="000000" w:themeColor="text1"/>
          <w:sz w:val="24"/>
          <w:szCs w:val="24"/>
        </w:rPr>
        <w:t xml:space="preserve"> Id</w:t>
      </w:r>
      <w:r w:rsidRPr="005875B0">
        <w:rPr>
          <w:rFonts w:cs="Arial"/>
          <w:color w:val="000000" w:themeColor="text1"/>
          <w:sz w:val="24"/>
          <w:szCs w:val="24"/>
        </w:rPr>
        <w:t xml:space="preserve">. citing </w:t>
      </w:r>
      <w:r w:rsidRPr="005875B0">
        <w:rPr>
          <w:rFonts w:cs="Arial"/>
          <w:i/>
          <w:iCs/>
          <w:color w:val="000000" w:themeColor="text1"/>
          <w:sz w:val="24"/>
          <w:szCs w:val="24"/>
        </w:rPr>
        <w:t>Birnbaum v. Zenda,</w:t>
      </w:r>
      <w:r w:rsidRPr="005875B0">
        <w:rPr>
          <w:rFonts w:cs="Arial"/>
          <w:color w:val="000000" w:themeColor="text1"/>
          <w:sz w:val="24"/>
          <w:szCs w:val="24"/>
        </w:rPr>
        <w:t xml:space="preserve"> 15 V.</w:t>
      </w:r>
      <w:r>
        <w:rPr>
          <w:rFonts w:cs="Arial"/>
          <w:color w:val="000000" w:themeColor="text1"/>
          <w:sz w:val="24"/>
          <w:szCs w:val="24"/>
        </w:rPr>
        <w:t>I. 329 (Terr.Ct.1978). Likewise, “p</w:t>
      </w:r>
      <w:r w:rsidRPr="005875B0">
        <w:rPr>
          <w:rFonts w:cs="Arial"/>
          <w:color w:val="000000" w:themeColor="text1"/>
          <w:sz w:val="24"/>
          <w:szCs w:val="24"/>
        </w:rPr>
        <w:t>art performance often takes a case out of the Statue of Frauds because it would be inequitable to allow a party to invest time and labor upon the faith of a contract that did not exist.</w:t>
      </w:r>
      <w:r>
        <w:rPr>
          <w:rFonts w:cs="Arial"/>
          <w:color w:val="000000" w:themeColor="text1"/>
          <w:sz w:val="24"/>
          <w:szCs w:val="24"/>
        </w:rPr>
        <w:t>”</w:t>
      </w:r>
      <w:r w:rsidRPr="005875B0">
        <w:rPr>
          <w:rFonts w:cs="Arial"/>
          <w:i/>
          <w:color w:val="000000" w:themeColor="text1"/>
          <w:sz w:val="24"/>
          <w:szCs w:val="24"/>
        </w:rPr>
        <w:t xml:space="preserve"> Id. </w:t>
      </w:r>
      <w:r w:rsidRPr="005875B0">
        <w:rPr>
          <w:rFonts w:cs="Arial"/>
          <w:color w:val="000000" w:themeColor="text1"/>
          <w:sz w:val="24"/>
          <w:szCs w:val="24"/>
        </w:rPr>
        <w:t xml:space="preserve">citing </w:t>
      </w:r>
      <w:r>
        <w:rPr>
          <w:rFonts w:cs="Arial"/>
          <w:i/>
          <w:iCs/>
          <w:color w:val="000000" w:themeColor="text1"/>
          <w:sz w:val="24"/>
          <w:szCs w:val="24"/>
        </w:rPr>
        <w:t>Henderson v.</w:t>
      </w:r>
      <w:r w:rsidRPr="005875B0">
        <w:rPr>
          <w:rFonts w:cs="Arial"/>
          <w:i/>
          <w:iCs/>
          <w:color w:val="000000" w:themeColor="text1"/>
          <w:sz w:val="24"/>
          <w:szCs w:val="24"/>
        </w:rPr>
        <w:t xml:space="preserve"> Resevic,</w:t>
      </w:r>
      <w:r w:rsidRPr="005875B0">
        <w:rPr>
          <w:rFonts w:cs="Arial"/>
          <w:color w:val="000000" w:themeColor="text1"/>
          <w:sz w:val="24"/>
          <w:szCs w:val="24"/>
        </w:rPr>
        <w:t xml:space="preserve"> 6 V.I. 196 (D.V.I.1967).</w:t>
      </w:r>
      <w:r>
        <w:rPr>
          <w:rFonts w:cs="Arial"/>
          <w:color w:val="000000" w:themeColor="text1"/>
          <w:sz w:val="24"/>
          <w:szCs w:val="24"/>
        </w:rPr>
        <w:t xml:space="preserve"> In any event, this defense is premature at this juncture.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68" w:rsidRPr="00833FF2" w:rsidRDefault="00204568">
    <w:pPr>
      <w:pStyle w:val="Header"/>
      <w:rPr>
        <w:sz w:val="20"/>
        <w:szCs w:val="20"/>
      </w:rPr>
    </w:pPr>
    <w:r w:rsidRPr="00833FF2">
      <w:rPr>
        <w:sz w:val="20"/>
        <w:szCs w:val="20"/>
      </w:rPr>
      <w:t>Plaintiff Hamed</w:t>
    </w:r>
    <w:r>
      <w:rPr>
        <w:sz w:val="20"/>
        <w:szCs w:val="20"/>
      </w:rPr>
      <w:t>’</w:t>
    </w:r>
    <w:r w:rsidRPr="00833FF2">
      <w:rPr>
        <w:sz w:val="20"/>
        <w:szCs w:val="20"/>
      </w:rPr>
      <w:t xml:space="preserve">s </w:t>
    </w:r>
    <w:r>
      <w:rPr>
        <w:sz w:val="20"/>
        <w:szCs w:val="20"/>
      </w:rPr>
      <w:t>Opposition to Defendants’ Rule 12 Motion</w:t>
    </w:r>
  </w:p>
  <w:p w:rsidR="00204568" w:rsidRPr="00833FF2" w:rsidRDefault="00204568">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01144B">
      <w:rPr>
        <w:noProof/>
        <w:sz w:val="20"/>
        <w:szCs w:val="20"/>
      </w:rPr>
      <w:t>20</w:t>
    </w:r>
    <w:r w:rsidRPr="00833FF2">
      <w:rPr>
        <w:noProof/>
        <w:sz w:val="20"/>
        <w:szCs w:val="20"/>
      </w:rPr>
      <w:fldChar w:fldCharType="end"/>
    </w:r>
  </w:p>
  <w:p w:rsidR="00204568" w:rsidRPr="00D17FB8" w:rsidRDefault="00204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E94"/>
    <w:multiLevelType w:val="hybridMultilevel"/>
    <w:tmpl w:val="9E580CAA"/>
    <w:lvl w:ilvl="0" w:tplc="78561268">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2412A"/>
    <w:multiLevelType w:val="hybridMultilevel"/>
    <w:tmpl w:val="C4265FC6"/>
    <w:lvl w:ilvl="0" w:tplc="4D1A62AC">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E5E13"/>
    <w:multiLevelType w:val="hybridMultilevel"/>
    <w:tmpl w:val="CA5E218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E3534"/>
    <w:multiLevelType w:val="hybridMultilevel"/>
    <w:tmpl w:val="842C0B46"/>
    <w:lvl w:ilvl="0" w:tplc="06820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92BD3"/>
    <w:multiLevelType w:val="hybridMultilevel"/>
    <w:tmpl w:val="E668A6A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93A3F"/>
    <w:multiLevelType w:val="hybridMultilevel"/>
    <w:tmpl w:val="187A68A2"/>
    <w:lvl w:ilvl="0" w:tplc="3B720996">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4"/>
  </w:num>
  <w:num w:numId="7">
    <w:abstractNumId w:val="12"/>
  </w:num>
  <w:num w:numId="8">
    <w:abstractNumId w:val="5"/>
  </w:num>
  <w:num w:numId="9">
    <w:abstractNumId w:val="11"/>
  </w:num>
  <w:num w:numId="10">
    <w:abstractNumId w:val="14"/>
  </w:num>
  <w:num w:numId="11">
    <w:abstractNumId w:val="2"/>
  </w:num>
  <w:num w:numId="12">
    <w:abstractNumId w:val="1"/>
  </w:num>
  <w:num w:numId="13">
    <w:abstractNumId w:val="7"/>
  </w:num>
  <w:num w:numId="14">
    <w:abstractNumId w:val="15"/>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D"/>
    <w:rsid w:val="00000884"/>
    <w:rsid w:val="00001A1A"/>
    <w:rsid w:val="00002FDE"/>
    <w:rsid w:val="00007F05"/>
    <w:rsid w:val="00010DC5"/>
    <w:rsid w:val="0001144B"/>
    <w:rsid w:val="00011F61"/>
    <w:rsid w:val="00012B65"/>
    <w:rsid w:val="00025B0D"/>
    <w:rsid w:val="00027556"/>
    <w:rsid w:val="00032A44"/>
    <w:rsid w:val="000410B3"/>
    <w:rsid w:val="00044B02"/>
    <w:rsid w:val="00052E0D"/>
    <w:rsid w:val="000545FF"/>
    <w:rsid w:val="000549FD"/>
    <w:rsid w:val="00056723"/>
    <w:rsid w:val="00056ECD"/>
    <w:rsid w:val="00070446"/>
    <w:rsid w:val="00071803"/>
    <w:rsid w:val="00071DFF"/>
    <w:rsid w:val="000744B7"/>
    <w:rsid w:val="00075D0D"/>
    <w:rsid w:val="00080CDC"/>
    <w:rsid w:val="00084A75"/>
    <w:rsid w:val="00087527"/>
    <w:rsid w:val="00091CCB"/>
    <w:rsid w:val="000936FA"/>
    <w:rsid w:val="000946A9"/>
    <w:rsid w:val="000953BD"/>
    <w:rsid w:val="00097B74"/>
    <w:rsid w:val="000A7372"/>
    <w:rsid w:val="000B042F"/>
    <w:rsid w:val="000C269B"/>
    <w:rsid w:val="000C2816"/>
    <w:rsid w:val="000E5E3C"/>
    <w:rsid w:val="000F2F9D"/>
    <w:rsid w:val="000F50B6"/>
    <w:rsid w:val="001007F1"/>
    <w:rsid w:val="00101174"/>
    <w:rsid w:val="0010163D"/>
    <w:rsid w:val="00112B60"/>
    <w:rsid w:val="0011457F"/>
    <w:rsid w:val="00122498"/>
    <w:rsid w:val="001233A1"/>
    <w:rsid w:val="00123B7F"/>
    <w:rsid w:val="00125D2D"/>
    <w:rsid w:val="00130D5D"/>
    <w:rsid w:val="00133FC6"/>
    <w:rsid w:val="00134365"/>
    <w:rsid w:val="00134A5F"/>
    <w:rsid w:val="001371C0"/>
    <w:rsid w:val="001403A6"/>
    <w:rsid w:val="00141065"/>
    <w:rsid w:val="00141B09"/>
    <w:rsid w:val="001521FE"/>
    <w:rsid w:val="0015531B"/>
    <w:rsid w:val="00155DAC"/>
    <w:rsid w:val="00157126"/>
    <w:rsid w:val="00162F98"/>
    <w:rsid w:val="00165160"/>
    <w:rsid w:val="00167FB6"/>
    <w:rsid w:val="00175AD7"/>
    <w:rsid w:val="0017614F"/>
    <w:rsid w:val="00186836"/>
    <w:rsid w:val="00190AA0"/>
    <w:rsid w:val="0019288E"/>
    <w:rsid w:val="001A03CD"/>
    <w:rsid w:val="001A05DC"/>
    <w:rsid w:val="001A086E"/>
    <w:rsid w:val="001A1CD1"/>
    <w:rsid w:val="001A7C44"/>
    <w:rsid w:val="001B4B41"/>
    <w:rsid w:val="001B4F16"/>
    <w:rsid w:val="001C090C"/>
    <w:rsid w:val="001C254E"/>
    <w:rsid w:val="001C257B"/>
    <w:rsid w:val="001C5C13"/>
    <w:rsid w:val="001D26DF"/>
    <w:rsid w:val="001D51CB"/>
    <w:rsid w:val="001E1E1C"/>
    <w:rsid w:val="001E3F5F"/>
    <w:rsid w:val="001E526B"/>
    <w:rsid w:val="001E58BA"/>
    <w:rsid w:val="001F2A32"/>
    <w:rsid w:val="001F6A9D"/>
    <w:rsid w:val="00204568"/>
    <w:rsid w:val="002060AB"/>
    <w:rsid w:val="00206598"/>
    <w:rsid w:val="00206639"/>
    <w:rsid w:val="002150B2"/>
    <w:rsid w:val="00215A53"/>
    <w:rsid w:val="0022183D"/>
    <w:rsid w:val="00231981"/>
    <w:rsid w:val="002343D6"/>
    <w:rsid w:val="00235044"/>
    <w:rsid w:val="00241D58"/>
    <w:rsid w:val="002461A8"/>
    <w:rsid w:val="00251292"/>
    <w:rsid w:val="0026260B"/>
    <w:rsid w:val="0026283B"/>
    <w:rsid w:val="00267A9C"/>
    <w:rsid w:val="00271E03"/>
    <w:rsid w:val="00272F1C"/>
    <w:rsid w:val="0027331E"/>
    <w:rsid w:val="0027388A"/>
    <w:rsid w:val="0027485E"/>
    <w:rsid w:val="00283D72"/>
    <w:rsid w:val="00290B97"/>
    <w:rsid w:val="00291380"/>
    <w:rsid w:val="00292044"/>
    <w:rsid w:val="00293911"/>
    <w:rsid w:val="00295D4F"/>
    <w:rsid w:val="00295E67"/>
    <w:rsid w:val="002A1276"/>
    <w:rsid w:val="002A771E"/>
    <w:rsid w:val="002B004B"/>
    <w:rsid w:val="002B02CD"/>
    <w:rsid w:val="002B1D84"/>
    <w:rsid w:val="002B30C6"/>
    <w:rsid w:val="002B7E05"/>
    <w:rsid w:val="002C033D"/>
    <w:rsid w:val="002C1723"/>
    <w:rsid w:val="002C7387"/>
    <w:rsid w:val="002D03CA"/>
    <w:rsid w:val="002D349D"/>
    <w:rsid w:val="002D6052"/>
    <w:rsid w:val="002F662F"/>
    <w:rsid w:val="003069BE"/>
    <w:rsid w:val="0031292A"/>
    <w:rsid w:val="00320F16"/>
    <w:rsid w:val="0032738A"/>
    <w:rsid w:val="00330392"/>
    <w:rsid w:val="00331CEF"/>
    <w:rsid w:val="003326E3"/>
    <w:rsid w:val="00334F56"/>
    <w:rsid w:val="0033643C"/>
    <w:rsid w:val="003428ED"/>
    <w:rsid w:val="003434DF"/>
    <w:rsid w:val="00346D28"/>
    <w:rsid w:val="00352B37"/>
    <w:rsid w:val="00354C8C"/>
    <w:rsid w:val="003566CB"/>
    <w:rsid w:val="0036115A"/>
    <w:rsid w:val="00364073"/>
    <w:rsid w:val="003666E9"/>
    <w:rsid w:val="003668B5"/>
    <w:rsid w:val="003668C0"/>
    <w:rsid w:val="00383F15"/>
    <w:rsid w:val="003851F4"/>
    <w:rsid w:val="00390D00"/>
    <w:rsid w:val="00392D43"/>
    <w:rsid w:val="0039515D"/>
    <w:rsid w:val="00395562"/>
    <w:rsid w:val="0039774B"/>
    <w:rsid w:val="003A15DF"/>
    <w:rsid w:val="003A7DC1"/>
    <w:rsid w:val="003B10FC"/>
    <w:rsid w:val="003B1EB5"/>
    <w:rsid w:val="003B4D10"/>
    <w:rsid w:val="003B5E2B"/>
    <w:rsid w:val="003C01FE"/>
    <w:rsid w:val="003C286E"/>
    <w:rsid w:val="003C3F60"/>
    <w:rsid w:val="003C7073"/>
    <w:rsid w:val="003D14B1"/>
    <w:rsid w:val="003D35D5"/>
    <w:rsid w:val="003D5850"/>
    <w:rsid w:val="003D791D"/>
    <w:rsid w:val="003E15E8"/>
    <w:rsid w:val="003E2829"/>
    <w:rsid w:val="003E7133"/>
    <w:rsid w:val="003F0FA8"/>
    <w:rsid w:val="003F3732"/>
    <w:rsid w:val="003F493C"/>
    <w:rsid w:val="003F61AD"/>
    <w:rsid w:val="003F6AC7"/>
    <w:rsid w:val="004007AC"/>
    <w:rsid w:val="004029D3"/>
    <w:rsid w:val="00407367"/>
    <w:rsid w:val="0041477E"/>
    <w:rsid w:val="00415205"/>
    <w:rsid w:val="0042126E"/>
    <w:rsid w:val="00425DDF"/>
    <w:rsid w:val="00427445"/>
    <w:rsid w:val="00427E9F"/>
    <w:rsid w:val="004301A8"/>
    <w:rsid w:val="00433461"/>
    <w:rsid w:val="0043490E"/>
    <w:rsid w:val="00435881"/>
    <w:rsid w:val="00444A6B"/>
    <w:rsid w:val="00444C1B"/>
    <w:rsid w:val="00451668"/>
    <w:rsid w:val="00454B76"/>
    <w:rsid w:val="00454CE8"/>
    <w:rsid w:val="0046078E"/>
    <w:rsid w:val="004639ED"/>
    <w:rsid w:val="00467380"/>
    <w:rsid w:val="0047226C"/>
    <w:rsid w:val="004726E9"/>
    <w:rsid w:val="004751BE"/>
    <w:rsid w:val="00480093"/>
    <w:rsid w:val="00480DFD"/>
    <w:rsid w:val="00486540"/>
    <w:rsid w:val="0048746C"/>
    <w:rsid w:val="00490403"/>
    <w:rsid w:val="0049131F"/>
    <w:rsid w:val="0049312E"/>
    <w:rsid w:val="004A1A23"/>
    <w:rsid w:val="004A3CD5"/>
    <w:rsid w:val="004A402F"/>
    <w:rsid w:val="004A73FD"/>
    <w:rsid w:val="004C08C8"/>
    <w:rsid w:val="004E178C"/>
    <w:rsid w:val="004E2DFB"/>
    <w:rsid w:val="004E7E56"/>
    <w:rsid w:val="005031DA"/>
    <w:rsid w:val="0051061C"/>
    <w:rsid w:val="005106A1"/>
    <w:rsid w:val="00511BF2"/>
    <w:rsid w:val="00513F00"/>
    <w:rsid w:val="00551501"/>
    <w:rsid w:val="005525AA"/>
    <w:rsid w:val="005578EE"/>
    <w:rsid w:val="005608E9"/>
    <w:rsid w:val="00560A46"/>
    <w:rsid w:val="005650AC"/>
    <w:rsid w:val="00566E3A"/>
    <w:rsid w:val="005712A4"/>
    <w:rsid w:val="00571636"/>
    <w:rsid w:val="00576781"/>
    <w:rsid w:val="00582E16"/>
    <w:rsid w:val="0058336A"/>
    <w:rsid w:val="005875B0"/>
    <w:rsid w:val="005A64BA"/>
    <w:rsid w:val="005A7DD1"/>
    <w:rsid w:val="005B295E"/>
    <w:rsid w:val="005B5CFA"/>
    <w:rsid w:val="005C092D"/>
    <w:rsid w:val="005C154D"/>
    <w:rsid w:val="005C67A4"/>
    <w:rsid w:val="005C6838"/>
    <w:rsid w:val="005D3B80"/>
    <w:rsid w:val="005D5709"/>
    <w:rsid w:val="005D7921"/>
    <w:rsid w:val="005E7074"/>
    <w:rsid w:val="0060630F"/>
    <w:rsid w:val="00610255"/>
    <w:rsid w:val="00611EF9"/>
    <w:rsid w:val="006221E1"/>
    <w:rsid w:val="006275FF"/>
    <w:rsid w:val="006335A9"/>
    <w:rsid w:val="00636371"/>
    <w:rsid w:val="0063648C"/>
    <w:rsid w:val="00640C11"/>
    <w:rsid w:val="00643679"/>
    <w:rsid w:val="0064791A"/>
    <w:rsid w:val="00662E36"/>
    <w:rsid w:val="00665B9E"/>
    <w:rsid w:val="00665FCB"/>
    <w:rsid w:val="0067337A"/>
    <w:rsid w:val="006742CA"/>
    <w:rsid w:val="006771E4"/>
    <w:rsid w:val="00684E5B"/>
    <w:rsid w:val="00696E35"/>
    <w:rsid w:val="00696E93"/>
    <w:rsid w:val="006A3393"/>
    <w:rsid w:val="006A3F77"/>
    <w:rsid w:val="006C4447"/>
    <w:rsid w:val="006C7486"/>
    <w:rsid w:val="006D2801"/>
    <w:rsid w:val="006D286D"/>
    <w:rsid w:val="006D2EED"/>
    <w:rsid w:val="006D420C"/>
    <w:rsid w:val="006D5E44"/>
    <w:rsid w:val="006E2FDB"/>
    <w:rsid w:val="006E348E"/>
    <w:rsid w:val="006E3A99"/>
    <w:rsid w:val="006E4D00"/>
    <w:rsid w:val="006E6404"/>
    <w:rsid w:val="006F3EA6"/>
    <w:rsid w:val="006F4190"/>
    <w:rsid w:val="006F45F9"/>
    <w:rsid w:val="00700E95"/>
    <w:rsid w:val="00702B67"/>
    <w:rsid w:val="00704A14"/>
    <w:rsid w:val="007135C6"/>
    <w:rsid w:val="00720EE6"/>
    <w:rsid w:val="00723EE4"/>
    <w:rsid w:val="00727804"/>
    <w:rsid w:val="00733BD9"/>
    <w:rsid w:val="00734833"/>
    <w:rsid w:val="00734ADD"/>
    <w:rsid w:val="0074055E"/>
    <w:rsid w:val="00744725"/>
    <w:rsid w:val="007470C4"/>
    <w:rsid w:val="0075451D"/>
    <w:rsid w:val="007608FA"/>
    <w:rsid w:val="00763130"/>
    <w:rsid w:val="0076650C"/>
    <w:rsid w:val="00775CD6"/>
    <w:rsid w:val="00777547"/>
    <w:rsid w:val="00787847"/>
    <w:rsid w:val="00787BA5"/>
    <w:rsid w:val="0079141A"/>
    <w:rsid w:val="00797A62"/>
    <w:rsid w:val="007A1CBA"/>
    <w:rsid w:val="007A590D"/>
    <w:rsid w:val="007A66D4"/>
    <w:rsid w:val="007A7570"/>
    <w:rsid w:val="007B0606"/>
    <w:rsid w:val="007B064B"/>
    <w:rsid w:val="007B71F0"/>
    <w:rsid w:val="007C063F"/>
    <w:rsid w:val="007C1E54"/>
    <w:rsid w:val="007C5FF3"/>
    <w:rsid w:val="007C7462"/>
    <w:rsid w:val="007D0AF3"/>
    <w:rsid w:val="007D0B68"/>
    <w:rsid w:val="007D0E74"/>
    <w:rsid w:val="007D2F96"/>
    <w:rsid w:val="007D3C49"/>
    <w:rsid w:val="007D4F63"/>
    <w:rsid w:val="007E1BB1"/>
    <w:rsid w:val="007E2FFE"/>
    <w:rsid w:val="007F4DDC"/>
    <w:rsid w:val="0080199C"/>
    <w:rsid w:val="00801DEB"/>
    <w:rsid w:val="00802103"/>
    <w:rsid w:val="0080224D"/>
    <w:rsid w:val="008156FE"/>
    <w:rsid w:val="008259AD"/>
    <w:rsid w:val="00833FF2"/>
    <w:rsid w:val="0083498B"/>
    <w:rsid w:val="0083585C"/>
    <w:rsid w:val="008372EE"/>
    <w:rsid w:val="00840D22"/>
    <w:rsid w:val="008547B2"/>
    <w:rsid w:val="00855BA0"/>
    <w:rsid w:val="00863768"/>
    <w:rsid w:val="008641A1"/>
    <w:rsid w:val="0087099D"/>
    <w:rsid w:val="00872874"/>
    <w:rsid w:val="0087388E"/>
    <w:rsid w:val="008746D9"/>
    <w:rsid w:val="008748C2"/>
    <w:rsid w:val="00874C1D"/>
    <w:rsid w:val="00875470"/>
    <w:rsid w:val="00876062"/>
    <w:rsid w:val="00880932"/>
    <w:rsid w:val="00882934"/>
    <w:rsid w:val="00883A8F"/>
    <w:rsid w:val="00885598"/>
    <w:rsid w:val="00893863"/>
    <w:rsid w:val="00893BD3"/>
    <w:rsid w:val="008953E0"/>
    <w:rsid w:val="008957EC"/>
    <w:rsid w:val="008A0451"/>
    <w:rsid w:val="008A6F28"/>
    <w:rsid w:val="008B3972"/>
    <w:rsid w:val="008B7AFE"/>
    <w:rsid w:val="008C107A"/>
    <w:rsid w:val="008C225E"/>
    <w:rsid w:val="008C376F"/>
    <w:rsid w:val="008D13C2"/>
    <w:rsid w:val="008D2EF1"/>
    <w:rsid w:val="008D4677"/>
    <w:rsid w:val="008D4F91"/>
    <w:rsid w:val="008D6889"/>
    <w:rsid w:val="008F35C9"/>
    <w:rsid w:val="008F49DF"/>
    <w:rsid w:val="008F7D80"/>
    <w:rsid w:val="00904D65"/>
    <w:rsid w:val="009116EA"/>
    <w:rsid w:val="00916A4D"/>
    <w:rsid w:val="009171A4"/>
    <w:rsid w:val="00922362"/>
    <w:rsid w:val="00924B84"/>
    <w:rsid w:val="00942D98"/>
    <w:rsid w:val="00944EB1"/>
    <w:rsid w:val="009477B0"/>
    <w:rsid w:val="00960489"/>
    <w:rsid w:val="00960DB0"/>
    <w:rsid w:val="00962C3C"/>
    <w:rsid w:val="00966A9B"/>
    <w:rsid w:val="00967320"/>
    <w:rsid w:val="009710E3"/>
    <w:rsid w:val="0097589F"/>
    <w:rsid w:val="00981CA1"/>
    <w:rsid w:val="0098208B"/>
    <w:rsid w:val="009915BE"/>
    <w:rsid w:val="00991FD9"/>
    <w:rsid w:val="009A1063"/>
    <w:rsid w:val="009A195B"/>
    <w:rsid w:val="009A3083"/>
    <w:rsid w:val="009A3F63"/>
    <w:rsid w:val="009A5934"/>
    <w:rsid w:val="009B2806"/>
    <w:rsid w:val="009B3365"/>
    <w:rsid w:val="009C5347"/>
    <w:rsid w:val="009C7892"/>
    <w:rsid w:val="009D1943"/>
    <w:rsid w:val="009D3652"/>
    <w:rsid w:val="009E6001"/>
    <w:rsid w:val="009E7894"/>
    <w:rsid w:val="009F3636"/>
    <w:rsid w:val="009F3EE5"/>
    <w:rsid w:val="009F583A"/>
    <w:rsid w:val="00A06E71"/>
    <w:rsid w:val="00A14C12"/>
    <w:rsid w:val="00A16661"/>
    <w:rsid w:val="00A2339D"/>
    <w:rsid w:val="00A27861"/>
    <w:rsid w:val="00A41173"/>
    <w:rsid w:val="00A428AF"/>
    <w:rsid w:val="00A4370A"/>
    <w:rsid w:val="00A44EEA"/>
    <w:rsid w:val="00A45F24"/>
    <w:rsid w:val="00A472F9"/>
    <w:rsid w:val="00A4736E"/>
    <w:rsid w:val="00A515F7"/>
    <w:rsid w:val="00A51C53"/>
    <w:rsid w:val="00A5565D"/>
    <w:rsid w:val="00A60520"/>
    <w:rsid w:val="00A64872"/>
    <w:rsid w:val="00A6512F"/>
    <w:rsid w:val="00A725CF"/>
    <w:rsid w:val="00A7458F"/>
    <w:rsid w:val="00A75BB2"/>
    <w:rsid w:val="00A804C8"/>
    <w:rsid w:val="00A83441"/>
    <w:rsid w:val="00A85FBA"/>
    <w:rsid w:val="00A876CC"/>
    <w:rsid w:val="00A921FF"/>
    <w:rsid w:val="00A94030"/>
    <w:rsid w:val="00A961C1"/>
    <w:rsid w:val="00A96F2A"/>
    <w:rsid w:val="00AA2653"/>
    <w:rsid w:val="00AA67AC"/>
    <w:rsid w:val="00AA69E3"/>
    <w:rsid w:val="00AD2416"/>
    <w:rsid w:val="00AD616F"/>
    <w:rsid w:val="00AD6781"/>
    <w:rsid w:val="00AE1E74"/>
    <w:rsid w:val="00AF0506"/>
    <w:rsid w:val="00B02549"/>
    <w:rsid w:val="00B06FE3"/>
    <w:rsid w:val="00B235FA"/>
    <w:rsid w:val="00B24696"/>
    <w:rsid w:val="00B30AB1"/>
    <w:rsid w:val="00B34D5A"/>
    <w:rsid w:val="00B35A4A"/>
    <w:rsid w:val="00B35B43"/>
    <w:rsid w:val="00B379C1"/>
    <w:rsid w:val="00B42473"/>
    <w:rsid w:val="00B432D0"/>
    <w:rsid w:val="00B51F0D"/>
    <w:rsid w:val="00B559ED"/>
    <w:rsid w:val="00B64FB0"/>
    <w:rsid w:val="00B659CE"/>
    <w:rsid w:val="00B7240F"/>
    <w:rsid w:val="00B74D65"/>
    <w:rsid w:val="00B77D96"/>
    <w:rsid w:val="00B81904"/>
    <w:rsid w:val="00B85CCB"/>
    <w:rsid w:val="00B93908"/>
    <w:rsid w:val="00B9623B"/>
    <w:rsid w:val="00B97D29"/>
    <w:rsid w:val="00BA1123"/>
    <w:rsid w:val="00BA14F6"/>
    <w:rsid w:val="00BA3769"/>
    <w:rsid w:val="00BA4BEC"/>
    <w:rsid w:val="00BB769C"/>
    <w:rsid w:val="00BB7935"/>
    <w:rsid w:val="00BC07EF"/>
    <w:rsid w:val="00BC0AD4"/>
    <w:rsid w:val="00BC0B83"/>
    <w:rsid w:val="00BC2326"/>
    <w:rsid w:val="00BC29A1"/>
    <w:rsid w:val="00BC3677"/>
    <w:rsid w:val="00BC3D28"/>
    <w:rsid w:val="00BC3D92"/>
    <w:rsid w:val="00BD30ED"/>
    <w:rsid w:val="00BD3D9C"/>
    <w:rsid w:val="00BE11F8"/>
    <w:rsid w:val="00BE3607"/>
    <w:rsid w:val="00BE3BCE"/>
    <w:rsid w:val="00BE73F9"/>
    <w:rsid w:val="00BE77F1"/>
    <w:rsid w:val="00BF110C"/>
    <w:rsid w:val="00BF13E4"/>
    <w:rsid w:val="00BF1897"/>
    <w:rsid w:val="00BF2944"/>
    <w:rsid w:val="00BF4E86"/>
    <w:rsid w:val="00BF57CB"/>
    <w:rsid w:val="00BF6F69"/>
    <w:rsid w:val="00C00363"/>
    <w:rsid w:val="00C01101"/>
    <w:rsid w:val="00C02CEE"/>
    <w:rsid w:val="00C1226A"/>
    <w:rsid w:val="00C16E12"/>
    <w:rsid w:val="00C222B0"/>
    <w:rsid w:val="00C246AC"/>
    <w:rsid w:val="00C27832"/>
    <w:rsid w:val="00C27B6D"/>
    <w:rsid w:val="00C3175A"/>
    <w:rsid w:val="00C430A2"/>
    <w:rsid w:val="00C43264"/>
    <w:rsid w:val="00C536B0"/>
    <w:rsid w:val="00C71FA7"/>
    <w:rsid w:val="00C737AD"/>
    <w:rsid w:val="00C75AAA"/>
    <w:rsid w:val="00C80B1A"/>
    <w:rsid w:val="00C8335A"/>
    <w:rsid w:val="00C86480"/>
    <w:rsid w:val="00C92C64"/>
    <w:rsid w:val="00CA0CDB"/>
    <w:rsid w:val="00CA1819"/>
    <w:rsid w:val="00CA366A"/>
    <w:rsid w:val="00CA4637"/>
    <w:rsid w:val="00CA48A0"/>
    <w:rsid w:val="00CA49EB"/>
    <w:rsid w:val="00CA7421"/>
    <w:rsid w:val="00CA7DEC"/>
    <w:rsid w:val="00CB2782"/>
    <w:rsid w:val="00CB3B20"/>
    <w:rsid w:val="00CB6008"/>
    <w:rsid w:val="00CC0370"/>
    <w:rsid w:val="00CC584A"/>
    <w:rsid w:val="00CD0FE6"/>
    <w:rsid w:val="00CD2D1D"/>
    <w:rsid w:val="00CD7854"/>
    <w:rsid w:val="00CD7FAE"/>
    <w:rsid w:val="00CE612A"/>
    <w:rsid w:val="00CF493E"/>
    <w:rsid w:val="00D06924"/>
    <w:rsid w:val="00D1262E"/>
    <w:rsid w:val="00D14535"/>
    <w:rsid w:val="00D17FB8"/>
    <w:rsid w:val="00D26C8A"/>
    <w:rsid w:val="00D3006C"/>
    <w:rsid w:val="00D31CB0"/>
    <w:rsid w:val="00D50070"/>
    <w:rsid w:val="00D505B4"/>
    <w:rsid w:val="00D52CB4"/>
    <w:rsid w:val="00D6353D"/>
    <w:rsid w:val="00D739AA"/>
    <w:rsid w:val="00D7595C"/>
    <w:rsid w:val="00D87024"/>
    <w:rsid w:val="00D9398A"/>
    <w:rsid w:val="00DA0227"/>
    <w:rsid w:val="00DA1953"/>
    <w:rsid w:val="00DA2EB8"/>
    <w:rsid w:val="00DA3B23"/>
    <w:rsid w:val="00DA4426"/>
    <w:rsid w:val="00DB0303"/>
    <w:rsid w:val="00DB582B"/>
    <w:rsid w:val="00DC09BE"/>
    <w:rsid w:val="00DD207C"/>
    <w:rsid w:val="00DD309C"/>
    <w:rsid w:val="00DE4C80"/>
    <w:rsid w:val="00DF1264"/>
    <w:rsid w:val="00DF5EE8"/>
    <w:rsid w:val="00DF73D2"/>
    <w:rsid w:val="00E00672"/>
    <w:rsid w:val="00E0144A"/>
    <w:rsid w:val="00E1118D"/>
    <w:rsid w:val="00E137C7"/>
    <w:rsid w:val="00E165A7"/>
    <w:rsid w:val="00E20B1D"/>
    <w:rsid w:val="00E22B07"/>
    <w:rsid w:val="00E30B04"/>
    <w:rsid w:val="00E33FB8"/>
    <w:rsid w:val="00E3507F"/>
    <w:rsid w:val="00E42576"/>
    <w:rsid w:val="00E43108"/>
    <w:rsid w:val="00E43F59"/>
    <w:rsid w:val="00E45A59"/>
    <w:rsid w:val="00E51B9C"/>
    <w:rsid w:val="00E51F2F"/>
    <w:rsid w:val="00E61E86"/>
    <w:rsid w:val="00E63189"/>
    <w:rsid w:val="00E66725"/>
    <w:rsid w:val="00E7233A"/>
    <w:rsid w:val="00E72EC4"/>
    <w:rsid w:val="00E73D20"/>
    <w:rsid w:val="00E80B7E"/>
    <w:rsid w:val="00E85E4C"/>
    <w:rsid w:val="00E9311E"/>
    <w:rsid w:val="00E95115"/>
    <w:rsid w:val="00EA1C3A"/>
    <w:rsid w:val="00EA4AD1"/>
    <w:rsid w:val="00EA693A"/>
    <w:rsid w:val="00EA770C"/>
    <w:rsid w:val="00EA7F78"/>
    <w:rsid w:val="00EB2FB3"/>
    <w:rsid w:val="00EC16E7"/>
    <w:rsid w:val="00EC1715"/>
    <w:rsid w:val="00EC2234"/>
    <w:rsid w:val="00EC49D1"/>
    <w:rsid w:val="00ED0500"/>
    <w:rsid w:val="00ED068A"/>
    <w:rsid w:val="00ED4A56"/>
    <w:rsid w:val="00EE219A"/>
    <w:rsid w:val="00EE2F34"/>
    <w:rsid w:val="00EE4B0E"/>
    <w:rsid w:val="00EE4B74"/>
    <w:rsid w:val="00EE6593"/>
    <w:rsid w:val="00EF51A1"/>
    <w:rsid w:val="00F0114C"/>
    <w:rsid w:val="00F04E4A"/>
    <w:rsid w:val="00F06774"/>
    <w:rsid w:val="00F07914"/>
    <w:rsid w:val="00F12631"/>
    <w:rsid w:val="00F237EA"/>
    <w:rsid w:val="00F263B0"/>
    <w:rsid w:val="00F35638"/>
    <w:rsid w:val="00F361A7"/>
    <w:rsid w:val="00F47CDD"/>
    <w:rsid w:val="00F522D8"/>
    <w:rsid w:val="00F6137C"/>
    <w:rsid w:val="00F656F4"/>
    <w:rsid w:val="00F66395"/>
    <w:rsid w:val="00F667A4"/>
    <w:rsid w:val="00F71802"/>
    <w:rsid w:val="00F72B2A"/>
    <w:rsid w:val="00F76565"/>
    <w:rsid w:val="00F835E1"/>
    <w:rsid w:val="00F845E5"/>
    <w:rsid w:val="00F8515F"/>
    <w:rsid w:val="00F85CE1"/>
    <w:rsid w:val="00F91EC1"/>
    <w:rsid w:val="00F9525A"/>
    <w:rsid w:val="00FA27E7"/>
    <w:rsid w:val="00FA365C"/>
    <w:rsid w:val="00FA5099"/>
    <w:rsid w:val="00FB0A76"/>
    <w:rsid w:val="00FB35ED"/>
    <w:rsid w:val="00FC0782"/>
    <w:rsid w:val="00FC2951"/>
    <w:rsid w:val="00FC4CFF"/>
    <w:rsid w:val="00FD7DE8"/>
    <w:rsid w:val="00FE0232"/>
    <w:rsid w:val="00FE464D"/>
    <w:rsid w:val="00FE5F2B"/>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4D80-4988-449C-B742-F516096B4AF2}">
  <ds:schemaRefs>
    <ds:schemaRef ds:uri="http://schemas.openxmlformats.org/officeDocument/2006/bibliography"/>
  </ds:schemaRefs>
</ds:datastoreItem>
</file>

<file path=customXml/itemProps2.xml><?xml version="1.0" encoding="utf-8"?>
<ds:datastoreItem xmlns:ds="http://schemas.openxmlformats.org/officeDocument/2006/customXml" ds:itemID="{C57FEDEA-3E65-42FC-BE5D-4B1A477C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6406</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Kim</cp:lastModifiedBy>
  <cp:revision>22</cp:revision>
  <cp:lastPrinted>2012-11-12T01:42:00Z</cp:lastPrinted>
  <dcterms:created xsi:type="dcterms:W3CDTF">2012-11-12T14:11:00Z</dcterms:created>
  <dcterms:modified xsi:type="dcterms:W3CDTF">2012-11-12T14:41:00Z</dcterms:modified>
</cp:coreProperties>
</file>